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bidi w:val="0"/>
        <w:snapToGrid w:val="0"/>
        <w:spacing w:line="560" w:lineRule="exact"/>
        <w:jc w:val="both"/>
        <w:textAlignment w:val="auto"/>
        <w:rPr>
          <w:rFonts w:ascii="宋体" w:hAnsi="宋体" w:eastAsia="宋体"/>
          <w:sz w:val="44"/>
          <w:szCs w:val="44"/>
        </w:rPr>
      </w:pPr>
      <w:bookmarkStart w:id="0" w:name="_Toc1407340"/>
    </w:p>
    <w:p>
      <w:pPr>
        <w:pStyle w:val="4"/>
        <w:keepNext w:val="0"/>
        <w:keepLines w:val="0"/>
        <w:pageBreakBefore w:val="0"/>
        <w:kinsoku/>
        <w:wordWrap/>
        <w:overflowPunct/>
        <w:topLinePunct w:val="0"/>
        <w:bidi w:val="0"/>
        <w:snapToGrid w:val="0"/>
        <w:spacing w:line="560" w:lineRule="exact"/>
        <w:jc w:val="center"/>
        <w:textAlignment w:val="auto"/>
        <w:rPr>
          <w:rFonts w:hint="eastAsia"/>
          <w:b w:val="0"/>
          <w:bCs w:val="0"/>
          <w:sz w:val="52"/>
          <w:szCs w:val="52"/>
          <w:lang w:eastAsia="zh-CN"/>
        </w:rPr>
      </w:pPr>
      <w:bookmarkStart w:id="1" w:name="_Toc12372848"/>
      <w:bookmarkStart w:id="2" w:name="_Toc2580367"/>
      <w:bookmarkStart w:id="3" w:name="_Toc2580726"/>
      <w:r>
        <w:rPr>
          <w:rFonts w:hint="eastAsia"/>
          <w:b w:val="0"/>
          <w:bCs w:val="0"/>
          <w:sz w:val="52"/>
          <w:szCs w:val="52"/>
          <w:lang w:eastAsia="zh-CN"/>
        </w:rPr>
        <w:t>淮北市第四人民医院核酸检测设备</w:t>
      </w: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sz w:val="52"/>
          <w:szCs w:val="52"/>
        </w:rPr>
      </w:pPr>
      <w:r>
        <w:rPr>
          <w:rFonts w:hint="eastAsia"/>
          <w:b w:val="0"/>
          <w:bCs w:val="0"/>
          <w:sz w:val="52"/>
          <w:szCs w:val="52"/>
          <w:lang w:eastAsia="zh-CN"/>
        </w:rPr>
        <w:t>紧急采购项目</w:t>
      </w:r>
      <w:r>
        <w:rPr>
          <w:rFonts w:hint="eastAsia" w:ascii="宋体" w:hAnsi="宋体" w:eastAsia="宋体"/>
          <w:sz w:val="52"/>
          <w:szCs w:val="52"/>
        </w:rPr>
        <w:t>文件</w:t>
      </w:r>
      <w:bookmarkEnd w:id="1"/>
      <w:bookmarkEnd w:id="2"/>
      <w:bookmarkEnd w:id="3"/>
    </w:p>
    <w:p>
      <w:pPr>
        <w:pageBreakBefore w:val="0"/>
        <w:kinsoku/>
        <w:wordWrap/>
        <w:overflowPunct/>
        <w:topLinePunct w:val="0"/>
        <w:bidi w:val="0"/>
        <w:snapToGrid w:val="0"/>
        <w:spacing w:line="560" w:lineRule="exact"/>
        <w:jc w:val="center"/>
        <w:textAlignment w:val="auto"/>
        <w:rPr>
          <w:rFonts w:hint="default" w:eastAsia="宋体"/>
          <w:b/>
          <w:sz w:val="32"/>
          <w:szCs w:val="32"/>
          <w:lang w:val="en-US" w:eastAsia="zh-CN"/>
        </w:rPr>
      </w:pPr>
      <w:r>
        <w:rPr>
          <w:rFonts w:hint="eastAsia"/>
          <w:b/>
          <w:sz w:val="32"/>
          <w:szCs w:val="32"/>
        </w:rPr>
        <w:t>项目</w:t>
      </w:r>
      <w:r>
        <w:rPr>
          <w:b/>
          <w:sz w:val="32"/>
          <w:szCs w:val="32"/>
        </w:rPr>
        <w:t>编号：</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号</w:t>
      </w: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Style w:val="2"/>
        <w:rPr>
          <w:rFonts w:ascii="宋体" w:hAnsi="宋体"/>
          <w:b/>
          <w:bCs/>
          <w:kern w:val="0"/>
          <w:sz w:val="30"/>
          <w:szCs w:val="30"/>
        </w:rPr>
      </w:pPr>
    </w:p>
    <w:p>
      <w:pPr>
        <w:rPr>
          <w:rFonts w:ascii="宋体" w:hAnsi="宋体"/>
          <w:b/>
          <w:bCs/>
          <w:kern w:val="0"/>
          <w:sz w:val="30"/>
          <w:szCs w:val="30"/>
        </w:rPr>
      </w:pPr>
    </w:p>
    <w:p>
      <w:pPr>
        <w:pStyle w:val="2"/>
        <w:rPr>
          <w:rFonts w:ascii="宋体" w:hAnsi="宋体"/>
          <w:b/>
          <w:bCs/>
          <w:kern w:val="0"/>
          <w:sz w:val="30"/>
          <w:szCs w:val="30"/>
        </w:rPr>
      </w:pPr>
    </w:p>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r>
        <w:rPr>
          <w:rFonts w:hint="eastAsia"/>
          <w:b/>
          <w:bCs/>
          <w:sz w:val="30"/>
          <w:lang w:bidi="he-IL"/>
        </w:rPr>
        <w:t>202</w:t>
      </w:r>
      <w:r>
        <w:rPr>
          <w:rFonts w:hint="eastAsia"/>
          <w:b/>
          <w:bCs/>
          <w:sz w:val="30"/>
          <w:lang w:val="en-US" w:eastAsia="zh-CN" w:bidi="he-IL"/>
        </w:rPr>
        <w:t>2</w:t>
      </w:r>
      <w:r>
        <w:rPr>
          <w:b/>
          <w:bCs/>
          <w:sz w:val="30"/>
          <w:lang w:bidi="he-IL"/>
        </w:rPr>
        <w:t>年</w:t>
      </w:r>
      <w:r>
        <w:rPr>
          <w:rFonts w:hint="eastAsia"/>
          <w:b/>
          <w:bCs/>
          <w:sz w:val="30"/>
          <w:lang w:val="en-US" w:eastAsia="zh-CN" w:bidi="he-IL"/>
        </w:rPr>
        <w:t>4</w:t>
      </w:r>
      <w:r>
        <w:rPr>
          <w:b/>
          <w:bCs/>
          <w:sz w:val="30"/>
          <w:lang w:bidi="he-IL"/>
        </w:rPr>
        <w:t>月</w:t>
      </w:r>
      <w:r>
        <w:rPr>
          <w:rFonts w:hint="eastAsia"/>
          <w:b/>
          <w:bCs/>
          <w:sz w:val="30"/>
          <w:lang w:val="en-US" w:eastAsia="zh-CN" w:bidi="he-IL"/>
        </w:rPr>
        <w:t>14</w:t>
      </w:r>
      <w:r>
        <w:rPr>
          <w:rFonts w:hint="eastAsia"/>
          <w:b/>
          <w:bCs/>
          <w:sz w:val="30"/>
          <w:lang w:bidi="he-IL"/>
        </w:rPr>
        <w:t>日</w:t>
      </w: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Style w:val="2"/>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2"/>
          <w:szCs w:val="32"/>
        </w:rPr>
      </w:pPr>
      <w:r>
        <w:rPr>
          <w:rFonts w:hint="eastAsia" w:ascii="宋体" w:hAnsi="宋体"/>
          <w:b/>
          <w:bCs/>
          <w:kern w:val="0"/>
          <w:sz w:val="32"/>
          <w:szCs w:val="32"/>
        </w:rPr>
        <w:t>目  录</w:t>
      </w:r>
    </w:p>
    <w:p>
      <w:pPr>
        <w:pStyle w:val="13"/>
        <w:pageBreakBefore w:val="0"/>
        <w:tabs>
          <w:tab w:val="right" w:leader="dot" w:pos="8296"/>
        </w:tabs>
        <w:kinsoku/>
        <w:wordWrap/>
        <w:overflowPunct/>
        <w:topLinePunct w:val="0"/>
        <w:bidi w:val="0"/>
        <w:snapToGrid w:val="0"/>
        <w:spacing w:line="560" w:lineRule="exact"/>
        <w:textAlignment w:val="auto"/>
      </w:pPr>
    </w:p>
    <w:p>
      <w:pPr>
        <w:pStyle w:val="13"/>
        <w:pageBreakBefore w:val="0"/>
        <w:tabs>
          <w:tab w:val="right" w:leader="dot" w:pos="8296"/>
        </w:tabs>
        <w:kinsoku/>
        <w:wordWrap/>
        <w:overflowPunct/>
        <w:topLinePunct w:val="0"/>
        <w:bidi w:val="0"/>
        <w:snapToGrid w:val="0"/>
        <w:spacing w:line="560" w:lineRule="exact"/>
        <w:textAlignment w:val="auto"/>
        <w:rPr>
          <w:rStyle w:val="21"/>
          <w:rFonts w:ascii="宋体" w:hAnsi="宋体"/>
          <w:sz w:val="24"/>
          <w:szCs w:val="24"/>
        </w:rPr>
      </w:pPr>
      <w:r>
        <w:rPr>
          <w:rFonts w:ascii="宋体" w:hAnsi="宋体"/>
          <w:sz w:val="24"/>
          <w:szCs w:val="24"/>
        </w:rPr>
        <w:fldChar w:fldCharType="begin"/>
      </w:r>
      <w:r>
        <w:rPr>
          <w:rStyle w:val="21"/>
          <w:rFonts w:ascii="宋体" w:hAnsi="宋体"/>
          <w:sz w:val="24"/>
          <w:szCs w:val="24"/>
        </w:rPr>
        <w:instrText xml:space="preserve"> TOC \o "1-3" \h \z \u </w:instrText>
      </w:r>
      <w:r>
        <w:rPr>
          <w:rFonts w:ascii="宋体" w:hAnsi="宋体"/>
          <w:sz w:val="24"/>
          <w:szCs w:val="24"/>
        </w:rPr>
        <w:fldChar w:fldCharType="separate"/>
      </w:r>
    </w:p>
    <w:p>
      <w:pPr>
        <w:pStyle w:val="10"/>
        <w:pageBreakBefore w:val="0"/>
        <w:kinsoku/>
        <w:wordWrap/>
        <w:overflowPunct/>
        <w:topLinePunct w:val="0"/>
        <w:bidi w:val="0"/>
        <w:snapToGrid w:val="0"/>
        <w:spacing w:line="560" w:lineRule="exact"/>
        <w:textAlignment w:val="auto"/>
        <w:rPr>
          <w:rStyle w:val="21"/>
          <w:rFonts w:hint="eastAsia" w:ascii="宋体" w:hAnsi="宋体" w:eastAsia="宋体" w:cs="宋体"/>
          <w:sz w:val="24"/>
          <w:szCs w:val="24"/>
        </w:rPr>
      </w:pPr>
      <w:r>
        <w:rPr>
          <w:rStyle w:val="21"/>
          <w:rFonts w:hint="eastAsia" w:ascii="宋体" w:hAnsi="宋体" w:eastAsia="宋体" w:cs="宋体"/>
          <w:b w:val="0"/>
          <w:bCs w:val="0"/>
          <w:sz w:val="24"/>
          <w:szCs w:val="24"/>
        </w:rPr>
        <w:t xml:space="preserve">第一部分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"_Toc12372849" </w:instrText>
      </w:r>
      <w:r>
        <w:rPr>
          <w:rFonts w:hint="eastAsia" w:ascii="宋体" w:hAnsi="宋体" w:eastAsia="宋体" w:cs="宋体"/>
          <w:sz w:val="24"/>
          <w:szCs w:val="24"/>
        </w:rPr>
        <w:fldChar w:fldCharType="separate"/>
      </w:r>
      <w:r>
        <w:rPr>
          <w:rStyle w:val="21"/>
          <w:rFonts w:hint="eastAsia" w:ascii="宋体" w:hAnsi="宋体" w:eastAsia="宋体" w:cs="宋体"/>
          <w:b w:val="0"/>
          <w:bCs w:val="0"/>
          <w:sz w:val="24"/>
          <w:szCs w:val="24"/>
        </w:rPr>
        <w:t>投标人须知</w:t>
      </w:r>
      <w:r>
        <w:rPr>
          <w:rStyle w:val="21"/>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Style w:val="21"/>
          <w:rFonts w:hint="eastAsia" w:ascii="宋体" w:hAnsi="宋体" w:eastAsia="宋体" w:cs="宋体"/>
          <w:b w:val="0"/>
          <w:bCs w:val="0"/>
          <w:sz w:val="24"/>
          <w:szCs w:val="24"/>
        </w:rPr>
        <w:instrText xml:space="preserve"> PAGEREF _Toc12372849 \h </w:instrText>
      </w:r>
      <w:r>
        <w:rPr>
          <w:rFonts w:hint="eastAsia" w:ascii="宋体" w:hAnsi="宋体" w:eastAsia="宋体" w:cs="宋体"/>
          <w:b w:val="0"/>
          <w:bCs w:val="0"/>
          <w:sz w:val="24"/>
          <w:szCs w:val="24"/>
        </w:rPr>
        <w:fldChar w:fldCharType="separate"/>
      </w:r>
      <w:r>
        <w:rPr>
          <w:rStyle w:val="21"/>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fldChar w:fldCharType="end"/>
      </w:r>
    </w:p>
    <w:p>
      <w:pPr>
        <w:pStyle w:val="10"/>
        <w:pageBreakBefore w:val="0"/>
        <w:kinsoku/>
        <w:wordWrap/>
        <w:overflowPunct/>
        <w:topLinePunct w:val="0"/>
        <w:bidi w:val="0"/>
        <w:snapToGrid w:val="0"/>
        <w:spacing w:line="560" w:lineRule="exact"/>
        <w:textAlignment w:val="auto"/>
        <w:rPr>
          <w:rStyle w:val="21"/>
          <w:rFonts w:hint="eastAsia" w:ascii="宋体" w:hAnsi="宋体" w:eastAsia="宋体" w:cs="宋体"/>
          <w:sz w:val="24"/>
          <w:szCs w:val="24"/>
          <w:lang w:val="en-US" w:eastAsia="zh-CN"/>
        </w:rPr>
      </w:pPr>
      <w:r>
        <w:rPr>
          <w:rStyle w:val="21"/>
          <w:rFonts w:hint="eastAsia" w:ascii="宋体" w:hAnsi="宋体" w:eastAsia="宋体" w:cs="宋体"/>
          <w:b w:val="0"/>
          <w:bCs w:val="0"/>
          <w:sz w:val="24"/>
          <w:szCs w:val="24"/>
        </w:rPr>
        <w:t xml:space="preserve">第二部分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"_Toc12372850" </w:instrText>
      </w:r>
      <w:r>
        <w:rPr>
          <w:rFonts w:hint="eastAsia" w:ascii="宋体" w:hAnsi="宋体" w:eastAsia="宋体" w:cs="宋体"/>
          <w:sz w:val="24"/>
          <w:szCs w:val="24"/>
        </w:rPr>
        <w:fldChar w:fldCharType="separate"/>
      </w:r>
      <w:r>
        <w:rPr>
          <w:rStyle w:val="21"/>
          <w:rFonts w:hint="eastAsia" w:ascii="宋体" w:hAnsi="宋体" w:eastAsia="宋体" w:cs="宋体"/>
          <w:b w:val="0"/>
          <w:bCs w:val="0"/>
          <w:sz w:val="24"/>
          <w:szCs w:val="24"/>
        </w:rPr>
        <w:t>采购需求</w:t>
      </w:r>
      <w:r>
        <w:rPr>
          <w:rStyle w:val="21"/>
          <w:rFonts w:hint="eastAsia" w:ascii="宋体" w:hAnsi="宋体" w:eastAsia="宋体" w:cs="宋体"/>
          <w:b w:val="0"/>
          <w:bCs w:val="0"/>
          <w:sz w:val="24"/>
          <w:szCs w:val="24"/>
        </w:rPr>
        <w:tab/>
      </w:r>
      <w:r>
        <w:rPr>
          <w:rStyle w:val="21"/>
          <w:rFonts w:hint="eastAsia" w:ascii="宋体" w:hAnsi="宋体" w:eastAsia="宋体" w:cs="宋体"/>
          <w:b w:val="0"/>
          <w:bCs w:val="0"/>
          <w:sz w:val="24"/>
          <w:szCs w:val="24"/>
        </w:rPr>
        <w:fldChar w:fldCharType="end"/>
      </w:r>
      <w:r>
        <w:rPr>
          <w:rStyle w:val="21"/>
          <w:rFonts w:hint="eastAsia" w:ascii="宋体" w:hAnsi="宋体" w:eastAsia="宋体" w:cs="宋体"/>
          <w:b w:val="0"/>
          <w:bCs w:val="0"/>
          <w:sz w:val="24"/>
          <w:szCs w:val="24"/>
          <w:lang w:val="en-US" w:eastAsia="zh-CN"/>
        </w:rPr>
        <w:t>8</w:t>
      </w:r>
    </w:p>
    <w:p>
      <w:pPr>
        <w:pStyle w:val="13"/>
        <w:pageBreakBefore w:val="0"/>
        <w:tabs>
          <w:tab w:val="right" w:leader="dot" w:pos="8296"/>
        </w:tabs>
        <w:kinsoku/>
        <w:wordWrap/>
        <w:overflowPunct/>
        <w:topLinePunct w:val="0"/>
        <w:bidi w:val="0"/>
        <w:snapToGrid w:val="0"/>
        <w:spacing w:line="560" w:lineRule="exact"/>
        <w:ind w:left="0" w:leftChars="0"/>
        <w:textAlignment w:val="auto"/>
        <w:rPr>
          <w:rStyle w:val="21"/>
          <w:rFonts w:ascii="宋体" w:hAnsi="宋体"/>
          <w:sz w:val="24"/>
          <w:szCs w:val="24"/>
        </w:rPr>
      </w:pPr>
      <w:r>
        <w:rPr>
          <w:rStyle w:val="21"/>
          <w:rFonts w:hint="eastAsia" w:ascii="宋体" w:hAnsi="宋体" w:eastAsia="宋体" w:cs="宋体"/>
          <w:sz w:val="24"/>
          <w:szCs w:val="24"/>
        </w:rPr>
        <w:t xml:space="preserve">第三部分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"_Toc12372851" </w:instrText>
      </w:r>
      <w:r>
        <w:rPr>
          <w:rFonts w:hint="eastAsia" w:ascii="宋体" w:hAnsi="宋体" w:eastAsia="宋体" w:cs="宋体"/>
          <w:sz w:val="24"/>
          <w:szCs w:val="24"/>
        </w:rPr>
        <w:fldChar w:fldCharType="separate"/>
      </w:r>
      <w:r>
        <w:rPr>
          <w:rStyle w:val="21"/>
          <w:rFonts w:hint="eastAsia" w:ascii="宋体" w:hAnsi="宋体" w:eastAsia="宋体" w:cs="宋体"/>
          <w:sz w:val="24"/>
          <w:szCs w:val="24"/>
        </w:rPr>
        <w:t>投标文件（样式）</w:t>
      </w:r>
      <w:r>
        <w:rPr>
          <w:rStyle w:val="21"/>
          <w:rFonts w:hint="eastAsia" w:ascii="宋体" w:hAnsi="宋体" w:eastAsia="宋体" w:cs="宋体"/>
          <w:sz w:val="24"/>
          <w:szCs w:val="24"/>
        </w:rPr>
        <w:tab/>
      </w:r>
      <w:r>
        <w:rPr>
          <w:rFonts w:hint="eastAsia" w:ascii="宋体" w:hAnsi="宋体" w:eastAsia="宋体" w:cs="宋体"/>
          <w:sz w:val="24"/>
          <w:szCs w:val="24"/>
        </w:rPr>
        <w:fldChar w:fldCharType="begin"/>
      </w:r>
      <w:r>
        <w:rPr>
          <w:rStyle w:val="21"/>
          <w:rFonts w:hint="eastAsia" w:ascii="宋体" w:hAnsi="宋体" w:eastAsia="宋体" w:cs="宋体"/>
          <w:sz w:val="24"/>
          <w:szCs w:val="24"/>
        </w:rPr>
        <w:instrText xml:space="preserve"> PAGEREF _Toc12372851 \h </w:instrText>
      </w:r>
      <w:r>
        <w:rPr>
          <w:rFonts w:hint="eastAsia" w:ascii="宋体" w:hAnsi="宋体" w:eastAsia="宋体" w:cs="宋体"/>
          <w:sz w:val="24"/>
          <w:szCs w:val="24"/>
        </w:rPr>
        <w:fldChar w:fldCharType="separate"/>
      </w:r>
      <w:r>
        <w:rPr>
          <w:rStyle w:val="21"/>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3"/>
        <w:pageBreakBefore w:val="0"/>
        <w:tabs>
          <w:tab w:val="right" w:leader="dot" w:pos="8296"/>
        </w:tabs>
        <w:kinsoku/>
        <w:wordWrap/>
        <w:overflowPunct/>
        <w:topLinePunct w:val="0"/>
        <w:bidi w:val="0"/>
        <w:snapToGrid w:val="0"/>
        <w:spacing w:line="560" w:lineRule="exact"/>
        <w:textAlignment w:val="auto"/>
        <w:rPr>
          <w:sz w:val="24"/>
          <w:szCs w:val="24"/>
        </w:rPr>
      </w:pPr>
      <w:r>
        <w:rPr>
          <w:rFonts w:ascii="宋体" w:hAnsi="宋体"/>
          <w:sz w:val="24"/>
          <w:szCs w:val="24"/>
        </w:rPr>
        <w:fldChar w:fldCharType="end"/>
      </w:r>
    </w:p>
    <w:p>
      <w:pPr>
        <w:pageBreakBefore w:val="0"/>
        <w:kinsoku/>
        <w:wordWrap/>
        <w:overflowPunct/>
        <w:topLinePunct w:val="0"/>
        <w:bidi w:val="0"/>
        <w:snapToGrid w:val="0"/>
        <w:spacing w:line="560" w:lineRule="exact"/>
        <w:jc w:val="center"/>
        <w:textAlignment w:val="auto"/>
        <w:rPr>
          <w:rFonts w:ascii="宋体" w:hAnsi="宋体"/>
          <w:b/>
          <w:bCs/>
          <w:kern w:val="0"/>
          <w:sz w:val="24"/>
          <w:szCs w:val="24"/>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Style w:val="2"/>
        <w:rPr>
          <w:rFonts w:ascii="宋体" w:hAnsi="宋体"/>
          <w:b/>
          <w:bCs/>
          <w:kern w:val="0"/>
          <w:sz w:val="30"/>
          <w:szCs w:val="30"/>
        </w:rPr>
      </w:pPr>
    </w:p>
    <w:p/>
    <w:p>
      <w:pPr>
        <w:pageBreakBefore w:val="0"/>
        <w:kinsoku/>
        <w:wordWrap/>
        <w:overflowPunct/>
        <w:topLinePunct w:val="0"/>
        <w:bidi w:val="0"/>
        <w:snapToGrid w:val="0"/>
        <w:spacing w:line="560" w:lineRule="exact"/>
        <w:jc w:val="both"/>
        <w:textAlignment w:val="auto"/>
        <w:rPr>
          <w:rFonts w:ascii="宋体" w:hAnsi="宋体"/>
          <w:b/>
          <w:bCs/>
          <w:kern w:val="0"/>
          <w:sz w:val="30"/>
          <w:szCs w:val="30"/>
        </w:rPr>
      </w:pPr>
    </w:p>
    <w:p>
      <w:pPr>
        <w:pStyle w:val="15"/>
        <w:pageBreakBefore w:val="0"/>
        <w:kinsoku/>
        <w:wordWrap/>
        <w:overflowPunct/>
        <w:topLinePunct w:val="0"/>
        <w:bidi w:val="0"/>
        <w:snapToGrid w:val="0"/>
        <w:spacing w:line="560" w:lineRule="exact"/>
        <w:textAlignment w:val="auto"/>
        <w:rPr>
          <w:kern w:val="0"/>
        </w:rPr>
      </w:pPr>
      <w:bookmarkStart w:id="4" w:name="_Toc12372849"/>
      <w:r>
        <w:rPr>
          <w:rFonts w:hint="eastAsia"/>
          <w:kern w:val="0"/>
        </w:rPr>
        <w:t>第一部分  投标</w:t>
      </w:r>
      <w:r>
        <w:rPr>
          <w:kern w:val="0"/>
        </w:rPr>
        <w:t>人须知</w:t>
      </w:r>
      <w:bookmarkEnd w:id="0"/>
      <w:bookmarkEnd w:id="4"/>
    </w:p>
    <w:p>
      <w:pPr>
        <w:pStyle w:val="38"/>
        <w:pageBreakBefore w:val="0"/>
        <w:kinsoku/>
        <w:wordWrap/>
        <w:overflowPunct/>
        <w:topLinePunct w:val="0"/>
        <w:bidi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eastAsia" w:ascii="Times New Roman" w:hAnsi="Times New Roman" w:eastAsia="仿宋_GB2312" w:cs="Times New Roman"/>
          <w:b/>
          <w:sz w:val="32"/>
          <w:szCs w:val="32"/>
          <w:lang w:eastAsia="zh-CN"/>
        </w:rPr>
        <w:t>一</w:t>
      </w:r>
      <w:r>
        <w:rPr>
          <w:rFonts w:hint="default" w:ascii="Times New Roman" w:hAnsi="Times New Roman" w:eastAsia="仿宋_GB2312" w:cs="Times New Roman"/>
          <w:b/>
          <w:sz w:val="32"/>
          <w:szCs w:val="32"/>
          <w:lang w:eastAsia="zh-CN"/>
        </w:rPr>
        <w:t>、</w:t>
      </w:r>
      <w:r>
        <w:rPr>
          <w:rFonts w:hint="default" w:ascii="Times New Roman" w:hAnsi="Times New Roman" w:eastAsia="仿宋_GB2312" w:cs="Times New Roman"/>
          <w:b/>
          <w:sz w:val="32"/>
          <w:szCs w:val="32"/>
        </w:rPr>
        <w:t>投标人须知</w:t>
      </w:r>
    </w:p>
    <w:p>
      <w:pPr>
        <w:pageBreakBefore w:val="0"/>
        <w:kinsoku/>
        <w:wordWrap/>
        <w:overflowPunct/>
        <w:topLinePunct w:val="0"/>
        <w:bidi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（一）投标人资格要求</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1、投标人应是在中国境内依法注册的独立法人企业，投标人没有处于被责令停业、财产被接管、冻结、破产状态，须符合《政府采购法》第二十二条规定的要求；</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2、投标人如为制造商，须具有有效的中华人民共和国医疗器械生产许可证；投标人如为代理商或经销商，须具有有效的中华人民共和国医疗器械经营许可证（或经营备案证）；</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3、投标人须针对所投设备提供有效的国家食品药品监督管理局出具的中华人民共和国医疗器械注册证或备案证（含登记表，如有）；</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4、本项目不接受联合体投标。</w:t>
      </w:r>
    </w:p>
    <w:p>
      <w:pPr>
        <w:pageBreakBefore w:val="0"/>
        <w:kinsoku/>
        <w:wordWrap/>
        <w:overflowPunct/>
        <w:topLinePunct w:val="0"/>
        <w:bidi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（二）投标人提交的文件资料</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1、投标人提交的文件资料包括：</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（1）投标承诺书；</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（2）投标报价表（价格采用人民币报价，单品种分别报价）；</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（3）招标（技术参数）要求响应表，所投产品与招标要求逐项对比；</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（4）投标人提供有效的企业法人营业执照、组织机构代码证、税务登记证，若投标人已办理三证合一，提供加载统一社会信用代码的营业执照（复印件盖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 xml:space="preserve">章），无须再提供税务登记证书和组织机构代码证； </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（5）法定代表人授权书（原件）； </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（6）授权代表身份证（复印件盖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章）；</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（7）投标人如为制造商，提供医疗器械生产许可证；投标人如为代理商或经销商，提供医疗器械经营许可证（或经营备案证，复印件盖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章）；</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bookmarkStart w:id="5" w:name="_Toc509745134"/>
      <w:bookmarkStart w:id="6" w:name="_Toc509743735"/>
      <w:r>
        <w:rPr>
          <w:rFonts w:hint="default" w:ascii="Times New Roman" w:hAnsi="Times New Roman" w:eastAsia="仿宋_GB2312" w:cs="Times New Roman"/>
          <w:sz w:val="32"/>
          <w:szCs w:val="32"/>
        </w:rPr>
        <w:t>（8）</w:t>
      </w:r>
      <w:bookmarkEnd w:id="5"/>
      <w:bookmarkEnd w:id="6"/>
      <w:r>
        <w:rPr>
          <w:rFonts w:hint="default" w:ascii="Times New Roman" w:hAnsi="Times New Roman" w:eastAsia="仿宋_GB2312" w:cs="Times New Roman"/>
          <w:sz w:val="32"/>
          <w:szCs w:val="32"/>
        </w:rPr>
        <w:t>投标人须针对所投设备提供有效的国家食品药品监督管理局出具的中华人民共和国医疗器械注册证或备案证（复印件盖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章，含登记表，如有）；</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（9）产品生产或销售代理（授权）证书（如有）；</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bookmarkStart w:id="7" w:name="_Toc509743732"/>
      <w:bookmarkStart w:id="8" w:name="_Toc509745131"/>
      <w:r>
        <w:rPr>
          <w:rFonts w:hint="default" w:ascii="Times New Roman" w:hAnsi="Times New Roman" w:eastAsia="仿宋_GB2312" w:cs="Times New Roman"/>
          <w:sz w:val="32"/>
          <w:szCs w:val="32"/>
        </w:rPr>
        <w:t>（10）</w:t>
      </w:r>
      <w:bookmarkEnd w:id="7"/>
      <w:bookmarkEnd w:id="8"/>
      <w:r>
        <w:rPr>
          <w:rFonts w:hint="default" w:ascii="Times New Roman" w:hAnsi="Times New Roman" w:eastAsia="仿宋_GB2312" w:cs="Times New Roman"/>
          <w:sz w:val="32"/>
          <w:szCs w:val="32"/>
        </w:rPr>
        <w:t>售后服务内容承诺、质量保证；</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bookmarkStart w:id="9" w:name="_Toc492193546"/>
      <w:bookmarkStart w:id="10" w:name="_Toc509745135"/>
      <w:bookmarkStart w:id="11" w:name="_Toc492193070"/>
      <w:bookmarkStart w:id="12" w:name="_Toc509743736"/>
      <w:bookmarkStart w:id="13" w:name="_Toc331341347"/>
      <w:r>
        <w:rPr>
          <w:rFonts w:hint="default" w:ascii="Times New Roman" w:hAnsi="Times New Roman" w:eastAsia="仿宋_GB2312" w:cs="Times New Roman"/>
          <w:sz w:val="32"/>
          <w:szCs w:val="32"/>
        </w:rPr>
        <w:t>（11）</w:t>
      </w:r>
      <w:bookmarkEnd w:id="9"/>
      <w:bookmarkEnd w:id="10"/>
      <w:bookmarkEnd w:id="11"/>
      <w:bookmarkEnd w:id="12"/>
      <w:bookmarkEnd w:id="13"/>
      <w:r>
        <w:rPr>
          <w:rFonts w:hint="default" w:ascii="Times New Roman" w:hAnsi="Times New Roman" w:eastAsia="仿宋_GB2312" w:cs="Times New Roman"/>
          <w:sz w:val="32"/>
          <w:szCs w:val="32"/>
        </w:rPr>
        <w:t>提供符合招标公告要求的业绩证明材料（复印件要求加盖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公章）；</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（12）企业、产品介绍资料（企业情况、检验报告、专利证书、宣传彩页、生产企业等）（如有）。</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2、投标人提交的投标文件资料要求说明：</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（1）提供的复印件资料原件备查；</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（2）投标文件装订成册密封，第一页为封面，包括投标项目名称及编号、投标公司名称、联系方式（手机电话、邮箱）等，第二页为目录，请依据文件材料的装订顺序制作目录，每页有与目录相对应的页码；</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（3）投标文件正本须打印并由授权代表签字、盖</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章生效；副本可由正本复印制作。要求正本1份，副本</w:t>
      </w:r>
      <w:r>
        <w:rPr>
          <w:rFonts w:hint="default" w:ascii="Times New Roman" w:hAnsi="Times New Roman" w:eastAsia="仿宋_GB2312" w:cs="Times New Roman"/>
          <w:b/>
          <w:color w:val="auto"/>
          <w:sz w:val="32"/>
          <w:szCs w:val="32"/>
          <w:lang w:val="en-US" w:eastAsia="zh-CN"/>
        </w:rPr>
        <w:t>6</w:t>
      </w:r>
      <w:r>
        <w:rPr>
          <w:rFonts w:hint="default" w:ascii="Times New Roman" w:hAnsi="Times New Roman" w:eastAsia="仿宋_GB2312" w:cs="Times New Roman"/>
          <w:sz w:val="32"/>
          <w:szCs w:val="32"/>
        </w:rPr>
        <w:t>份，注明“正本”或“副本”字样，电子文件1份（U盘）。</w:t>
      </w:r>
      <w:r>
        <w:rPr>
          <w:rFonts w:hint="default" w:ascii="Times New Roman" w:hAnsi="Times New Roman" w:eastAsia="仿宋_GB2312" w:cs="Times New Roman"/>
          <w:b/>
          <w:bCs/>
          <w:sz w:val="32"/>
          <w:szCs w:val="32"/>
          <w:lang w:eastAsia="zh-CN"/>
        </w:rPr>
        <w:t>投标文件</w:t>
      </w:r>
      <w:r>
        <w:rPr>
          <w:rFonts w:hint="default" w:ascii="Times New Roman" w:hAnsi="Times New Roman" w:eastAsia="仿宋_GB2312" w:cs="Times New Roman"/>
          <w:b/>
          <w:bCs/>
          <w:sz w:val="32"/>
          <w:szCs w:val="32"/>
        </w:rPr>
        <w:t>有效性</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正本＞电子版＞副本。</w:t>
      </w:r>
      <w:r>
        <w:rPr>
          <w:rFonts w:hint="default" w:ascii="Times New Roman" w:hAnsi="Times New Roman" w:eastAsia="仿宋_GB2312" w:cs="Times New Roman"/>
          <w:sz w:val="32"/>
          <w:szCs w:val="32"/>
        </w:rPr>
        <w:t>投标文件要求加盖骑缝</w:t>
      </w:r>
      <w:r>
        <w:rPr>
          <w:rFonts w:hint="eastAsia" w:eastAsia="仿宋_GB2312" w:cs="Times New Roman"/>
          <w:sz w:val="32"/>
          <w:szCs w:val="32"/>
          <w:lang w:eastAsia="zh-CN"/>
        </w:rPr>
        <w:t>鲜红</w:t>
      </w:r>
      <w:r>
        <w:rPr>
          <w:rFonts w:hint="default" w:ascii="Times New Roman" w:hAnsi="Times New Roman" w:eastAsia="仿宋_GB2312" w:cs="Times New Roman"/>
          <w:sz w:val="32"/>
          <w:szCs w:val="32"/>
        </w:rPr>
        <w:t>章，密封</w:t>
      </w:r>
      <w:r>
        <w:rPr>
          <w:rFonts w:hint="default" w:ascii="Times New Roman" w:hAnsi="Times New Roman" w:eastAsia="仿宋_GB2312" w:cs="Times New Roman"/>
          <w:sz w:val="32"/>
          <w:szCs w:val="32"/>
          <w:lang w:eastAsia="zh-CN"/>
        </w:rPr>
        <w:t>递交。</w:t>
      </w:r>
      <w:r>
        <w:rPr>
          <w:rFonts w:hint="default" w:ascii="Times New Roman" w:hAnsi="Times New Roman" w:eastAsia="仿宋_GB2312" w:cs="Times New Roman"/>
          <w:sz w:val="32"/>
          <w:szCs w:val="32"/>
        </w:rPr>
        <w:t>并表</w:t>
      </w:r>
      <w:r>
        <w:rPr>
          <w:rFonts w:hint="default" w:ascii="Times New Roman" w:hAnsi="Times New Roman" w:eastAsia="仿宋_GB2312" w:cs="Times New Roman"/>
          <w:sz w:val="32"/>
          <w:szCs w:val="32"/>
          <w:lang w:eastAsia="zh-CN"/>
        </w:rPr>
        <w:t>明</w:t>
      </w:r>
      <w:r>
        <w:rPr>
          <w:rFonts w:hint="default" w:ascii="Times New Roman" w:hAnsi="Times New Roman" w:eastAsia="仿宋_GB2312" w:cs="Times New Roman"/>
          <w:sz w:val="32"/>
          <w:szCs w:val="32"/>
        </w:rPr>
        <w:t>投标项目名称、项目编号、联系人、联系手机、邮箱等信息。所有投标文件资料不予退还；</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（4）本项目采取资格后审。上述资料的审核将在开标后由评审小组负责执行，资格后审不合格的投标人，其投标被否决；</w:t>
      </w:r>
    </w:p>
    <w:p>
      <w:pPr>
        <w:pageBreakBefore w:val="0"/>
        <w:kinsoku/>
        <w:wordWrap/>
        <w:overflowPunct/>
        <w:topLinePunct w:val="0"/>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（5）如发现投标人有提供虚假材料的情况，将取消其投标资格。情节严重的，报管理部门按有关规定严肃处理。</w:t>
      </w:r>
    </w:p>
    <w:p>
      <w:pPr>
        <w:pageBreakBefore w:val="0"/>
        <w:kinsoku/>
        <w:wordWrap/>
        <w:overflowPunct/>
        <w:topLinePunct w:val="0"/>
        <w:bidi w:val="0"/>
        <w:snapToGrid w:val="0"/>
        <w:spacing w:line="560" w:lineRule="exact"/>
        <w:ind w:firstLine="643" w:firstLineChars="200"/>
        <w:textAlignment w:val="auto"/>
        <w:rPr>
          <w:rFonts w:ascii="宋体" w:hAnsi="宋体"/>
          <w:b/>
          <w:sz w:val="32"/>
          <w:szCs w:val="32"/>
        </w:rPr>
      </w:pPr>
      <w:r>
        <w:rPr>
          <w:rFonts w:hint="default" w:ascii="Times New Roman" w:hAnsi="Times New Roman" w:eastAsia="仿宋_GB2312" w:cs="Times New Roman"/>
          <w:b/>
          <w:sz w:val="32"/>
          <w:szCs w:val="32"/>
        </w:rPr>
        <w:t>（三）</w:t>
      </w:r>
      <w:bookmarkStart w:id="14" w:name="_Toc2580728"/>
      <w:bookmarkStart w:id="15" w:name="_Toc1407341"/>
      <w:r>
        <w:rPr>
          <w:rFonts w:hint="default" w:ascii="Times New Roman" w:hAnsi="Times New Roman" w:eastAsia="仿宋_GB2312" w:cs="Times New Roman"/>
          <w:b/>
          <w:sz w:val="32"/>
          <w:szCs w:val="32"/>
        </w:rPr>
        <w:t>评标方法</w:t>
      </w:r>
      <w:bookmarkEnd w:id="14"/>
      <w:bookmarkEnd w:id="15"/>
      <w:r>
        <w:rPr>
          <w:rFonts w:hint="eastAsia" w:ascii="Times New Roman" w:hAnsi="Times New Roman" w:eastAsia="仿宋_GB2312" w:cs="Times New Roman"/>
          <w:b/>
          <w:sz w:val="32"/>
          <w:szCs w:val="32"/>
          <w:lang w:eastAsia="zh-CN"/>
        </w:rPr>
        <w:t>：</w:t>
      </w:r>
      <w:r>
        <w:rPr>
          <w:rFonts w:hint="eastAsia" w:ascii="宋体" w:hAnsi="宋体"/>
          <w:b/>
          <w:sz w:val="32"/>
          <w:szCs w:val="32"/>
        </w:rPr>
        <w:t>综合评分表</w:t>
      </w:r>
    </w:p>
    <w:p>
      <w:pPr>
        <w:pageBreakBefore w:val="0"/>
        <w:kinsoku/>
        <w:wordWrap/>
        <w:overflowPunct/>
        <w:topLinePunct w:val="0"/>
        <w:bidi w:val="0"/>
        <w:snapToGrid w:val="0"/>
        <w:spacing w:line="560" w:lineRule="exact"/>
        <w:textAlignment w:val="auto"/>
        <w:rPr>
          <w:rFonts w:ascii="宋体" w:hAnsi="宋体" w:cs="宋体"/>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766"/>
        <w:gridCol w:w="514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0" w:type="dxa"/>
            <w:gridSpan w:val="3"/>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评分项目</w:t>
            </w:r>
          </w:p>
        </w:tc>
        <w:tc>
          <w:tcPr>
            <w:tcW w:w="916"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经济评审（</w:t>
            </w:r>
            <w:r>
              <w:rPr>
                <w:rFonts w:hint="eastAsia" w:ascii="宋体" w:hAnsi="宋体"/>
                <w:sz w:val="24"/>
                <w:lang w:val="en-US" w:eastAsia="zh-CN"/>
              </w:rPr>
              <w:t>20</w:t>
            </w:r>
            <w:r>
              <w:rPr>
                <w:rFonts w:hint="eastAsia" w:ascii="宋体" w:hAnsi="宋体"/>
                <w:sz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both"/>
              <w:textAlignment w:val="auto"/>
              <w:rPr>
                <w:rFonts w:hint="default" w:ascii="宋体" w:hAnsi="宋体" w:eastAsia="宋体"/>
                <w:sz w:val="24"/>
                <w:lang w:val="en-US" w:eastAsia="zh-CN"/>
              </w:rPr>
            </w:pPr>
            <w:r>
              <w:rPr>
                <w:rFonts w:hint="eastAsia" w:ascii="宋体" w:hAnsi="宋体"/>
                <w:sz w:val="24"/>
                <w:lang w:val="en-US" w:eastAsia="zh-CN"/>
              </w:rPr>
              <w:t>投标报价得分20分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eastAsia="宋体" w:cs="Times New Roman"/>
                <w:kern w:val="2"/>
                <w:sz w:val="24"/>
                <w:szCs w:val="24"/>
                <w:lang w:val="en-US" w:eastAsia="zh-CN" w:bidi="ar-SA"/>
              </w:rPr>
            </w:pPr>
            <w:r>
              <w:rPr>
                <w:rFonts w:ascii="宋体" w:hAnsi="宋体"/>
                <w:sz w:val="24"/>
              </w:rPr>
              <w:t>(</w:t>
            </w:r>
            <w:r>
              <w:rPr>
                <w:rFonts w:hint="eastAsia" w:ascii="宋体" w:hAnsi="宋体"/>
                <w:sz w:val="24"/>
              </w:rPr>
              <w:t>进入复审</w:t>
            </w:r>
            <w:r>
              <w:rPr>
                <w:rFonts w:hint="eastAsia" w:ascii="宋体" w:hAnsi="宋体"/>
                <w:sz w:val="24"/>
                <w:lang w:eastAsia="zh-CN"/>
              </w:rPr>
              <w:t>的</w:t>
            </w:r>
            <w:r>
              <w:rPr>
                <w:rFonts w:hint="eastAsia" w:ascii="宋体" w:hAnsi="宋体"/>
                <w:sz w:val="24"/>
              </w:rPr>
              <w:t>各投标人中最低报价</w:t>
            </w:r>
            <w:r>
              <w:rPr>
                <w:rFonts w:ascii="宋体" w:hAnsi="宋体"/>
                <w:sz w:val="24"/>
              </w:rPr>
              <w:t>/</w:t>
            </w:r>
            <w:r>
              <w:rPr>
                <w:rFonts w:hint="eastAsia" w:ascii="宋体" w:hAnsi="宋体"/>
                <w:sz w:val="24"/>
              </w:rPr>
              <w:t>该投标人的投标价</w:t>
            </w:r>
            <w:r>
              <w:rPr>
                <w:rFonts w:ascii="宋体" w:hAnsi="宋体"/>
                <w:sz w:val="24"/>
              </w:rPr>
              <w:t>)</w:t>
            </w:r>
            <w:r>
              <w:rPr>
                <w:rFonts w:hint="eastAsia" w:ascii="宋体" w:hAnsi="宋体"/>
                <w:sz w:val="24"/>
              </w:rPr>
              <w:t>×</w:t>
            </w:r>
            <w:r>
              <w:rPr>
                <w:rFonts w:hint="eastAsia" w:ascii="宋体" w:hAnsi="宋体"/>
                <w:sz w:val="24"/>
                <w:lang w:val="en-US" w:eastAsia="zh-CN"/>
              </w:rPr>
              <w:t>20</w:t>
            </w:r>
            <w:r>
              <w:rPr>
                <w:rFonts w:hint="eastAsia" w:ascii="宋体" w:hAnsi="宋体"/>
                <w:sz w:val="24"/>
              </w:rPr>
              <w:t>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lang w:val="en-US" w:eastAsia="zh-CN"/>
              </w:rPr>
              <w:t>2</w:t>
            </w: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技术评审（</w:t>
            </w:r>
            <w:r>
              <w:rPr>
                <w:rFonts w:hint="eastAsia" w:ascii="宋体" w:hAnsi="宋体"/>
                <w:sz w:val="24"/>
                <w:lang w:val="en-US" w:eastAsia="zh-CN"/>
              </w:rPr>
              <w:t>50</w:t>
            </w:r>
            <w:r>
              <w:rPr>
                <w:rFonts w:hint="eastAsia" w:ascii="宋体" w:hAnsi="宋体"/>
                <w:sz w:val="24"/>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设备技术参数响应</w:t>
            </w:r>
            <w:r>
              <w:rPr>
                <w:rFonts w:hint="eastAsia" w:ascii="宋体" w:hAnsi="宋体"/>
                <w:sz w:val="24"/>
                <w:lang w:val="en-US" w:eastAsia="zh-CN"/>
              </w:rPr>
              <w:t>35</w:t>
            </w:r>
            <w:r>
              <w:rPr>
                <w:rFonts w:hint="eastAsia" w:ascii="宋体" w:hAnsi="宋体"/>
                <w:sz w:val="24"/>
              </w:rPr>
              <w:t>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宋体" w:hAnsi="宋体" w:eastAsia="宋体"/>
                <w:sz w:val="24"/>
                <w:lang w:val="en-US" w:eastAsia="zh-CN"/>
              </w:rPr>
            </w:pPr>
            <w:r>
              <w:rPr>
                <w:rFonts w:hint="eastAsia" w:ascii="宋体" w:hAnsi="宋体"/>
                <w:sz w:val="24"/>
                <w:lang w:eastAsia="zh-CN"/>
              </w:rPr>
              <w:t>完全满足招标文件所有参数要求的得</w:t>
            </w:r>
            <w:r>
              <w:rPr>
                <w:rFonts w:hint="eastAsia" w:ascii="宋体" w:hAnsi="宋体"/>
                <w:sz w:val="24"/>
                <w:lang w:val="en-US" w:eastAsia="zh-CN"/>
              </w:rPr>
              <w:t>35分，基本</w:t>
            </w:r>
            <w:r>
              <w:rPr>
                <w:rFonts w:hint="eastAsia" w:ascii="宋体" w:hAnsi="宋体"/>
                <w:sz w:val="24"/>
              </w:rPr>
              <w:t>满足招标文件所有参数要求的得25分≤得分＜</w:t>
            </w:r>
            <w:r>
              <w:rPr>
                <w:rFonts w:hint="eastAsia" w:ascii="宋体" w:hAnsi="宋体"/>
                <w:sz w:val="24"/>
                <w:lang w:val="en-US" w:eastAsia="zh-CN"/>
              </w:rPr>
              <w:t>35</w:t>
            </w:r>
            <w:r>
              <w:rPr>
                <w:rFonts w:hint="eastAsia" w:ascii="宋体" w:hAnsi="宋体"/>
                <w:sz w:val="24"/>
              </w:rPr>
              <w:t>分，较小负偏离可以满足使用需求的得</w:t>
            </w:r>
            <w:r>
              <w:rPr>
                <w:rFonts w:hint="eastAsia" w:ascii="宋体" w:hAnsi="宋体"/>
                <w:sz w:val="24"/>
                <w:lang w:val="en-US" w:eastAsia="zh-CN"/>
              </w:rPr>
              <w:t>15</w:t>
            </w:r>
            <w:r>
              <w:rPr>
                <w:rFonts w:hint="eastAsia" w:ascii="宋体" w:hAnsi="宋体"/>
                <w:sz w:val="24"/>
              </w:rPr>
              <w:t>分≤得分＜2</w:t>
            </w:r>
            <w:r>
              <w:rPr>
                <w:rFonts w:hint="eastAsia" w:ascii="宋体" w:hAnsi="宋体"/>
                <w:sz w:val="24"/>
                <w:lang w:val="en-US" w:eastAsia="zh-CN"/>
              </w:rPr>
              <w:t>5</w:t>
            </w:r>
            <w:r>
              <w:rPr>
                <w:rFonts w:hint="eastAsia" w:ascii="宋体" w:hAnsi="宋体"/>
                <w:sz w:val="24"/>
              </w:rPr>
              <w:t>分，较多负偏离可以满足使用需求的得</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15</w:t>
            </w:r>
            <w:r>
              <w:rPr>
                <w:rFonts w:hint="eastAsia" w:ascii="宋体" w:hAnsi="宋体"/>
                <w:sz w:val="24"/>
              </w:rPr>
              <w:t>分（如果某项技术参数属于个别品牌或厂家专有，并且投标人提供了相关偏离说明，评审委员会认为可以满足用户方需求的，则不作为技术偏离扣分）。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宋体" w:hAnsi="宋体" w:eastAsia="宋体"/>
                <w:sz w:val="24"/>
                <w:lang w:val="en-US" w:eastAsia="zh-CN"/>
              </w:rPr>
            </w:pPr>
            <w:r>
              <w:rPr>
                <w:rFonts w:hint="eastAsia" w:ascii="宋体" w:hAnsi="宋体"/>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设备综合性能</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lang w:val="en-US" w:eastAsia="zh-CN"/>
              </w:rPr>
              <w:t>15</w:t>
            </w:r>
            <w:r>
              <w:rPr>
                <w:rFonts w:hint="eastAsia" w:ascii="宋体" w:hAnsi="宋体"/>
                <w:sz w:val="24"/>
              </w:rPr>
              <w:t>分</w:t>
            </w:r>
          </w:p>
        </w:tc>
        <w:tc>
          <w:tcPr>
            <w:tcW w:w="5149" w:type="dxa"/>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宋体" w:hAnsi="宋体"/>
                <w:sz w:val="24"/>
              </w:rPr>
            </w:pPr>
            <w:r>
              <w:rPr>
                <w:rFonts w:hint="eastAsia" w:ascii="宋体" w:hAnsi="宋体"/>
                <w:sz w:val="24"/>
              </w:rPr>
              <w:t>由评委对投标人所投设备的功能、性能、质量、运行稳定性等方面横向比较打分：优秀的</w:t>
            </w:r>
            <w:r>
              <w:rPr>
                <w:rFonts w:hint="eastAsia" w:ascii="宋体" w:hAnsi="宋体"/>
                <w:sz w:val="24"/>
                <w:lang w:val="en-US" w:eastAsia="zh-CN"/>
              </w:rPr>
              <w:t>10</w:t>
            </w:r>
            <w:r>
              <w:rPr>
                <w:rFonts w:hint="eastAsia" w:ascii="宋体" w:hAnsi="宋体"/>
                <w:sz w:val="24"/>
              </w:rPr>
              <w:t>分≤得分≤</w:t>
            </w:r>
            <w:r>
              <w:rPr>
                <w:rFonts w:hint="eastAsia" w:ascii="宋体" w:hAnsi="宋体"/>
                <w:sz w:val="24"/>
                <w:lang w:val="en-US" w:eastAsia="zh-CN"/>
              </w:rPr>
              <w:t>15</w:t>
            </w:r>
            <w:r>
              <w:rPr>
                <w:rFonts w:hint="eastAsia" w:ascii="宋体" w:hAnsi="宋体"/>
                <w:sz w:val="24"/>
              </w:rPr>
              <w:t>分，良好的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10</w:t>
            </w:r>
            <w:r>
              <w:rPr>
                <w:rFonts w:hint="eastAsia" w:ascii="宋体" w:hAnsi="宋体"/>
                <w:sz w:val="24"/>
              </w:rPr>
              <w:t>分，一般的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0</w:t>
            </w:r>
            <w:r>
              <w:rPr>
                <w:rFonts w:hint="eastAsia" w:ascii="宋体" w:hAnsi="宋体"/>
                <w:sz w:val="24"/>
              </w:rPr>
              <w:t>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宋体" w:hAnsi="宋体" w:eastAsia="宋体"/>
                <w:sz w:val="24"/>
                <w:lang w:val="en-US" w:eastAsia="zh-CN"/>
              </w:rPr>
            </w:pPr>
            <w:r>
              <w:rPr>
                <w:rFonts w:hint="eastAsia" w:ascii="宋体" w:hAnsi="宋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1"/>
                <w:szCs w:val="21"/>
              </w:rPr>
              <w:t>资信评审（</w:t>
            </w:r>
            <w:r>
              <w:rPr>
                <w:rFonts w:hint="eastAsia" w:ascii="宋体" w:hAnsi="宋体"/>
                <w:sz w:val="21"/>
                <w:szCs w:val="21"/>
                <w:lang w:val="en-US" w:eastAsia="zh-CN"/>
              </w:rPr>
              <w:t>30</w:t>
            </w:r>
            <w:r>
              <w:rPr>
                <w:rFonts w:hint="eastAsia" w:ascii="宋体" w:hAnsi="宋体"/>
                <w:sz w:val="21"/>
                <w:szCs w:val="21"/>
              </w:rPr>
              <w:t>分）</w:t>
            </w: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售后服务及培训承诺</w:t>
            </w:r>
            <w:r>
              <w:rPr>
                <w:rFonts w:hint="eastAsia" w:ascii="宋体" w:hAnsi="宋体"/>
                <w:sz w:val="24"/>
                <w:lang w:val="en-US" w:eastAsia="zh-CN"/>
              </w:rPr>
              <w:t>5</w:t>
            </w:r>
            <w:r>
              <w:rPr>
                <w:rFonts w:hint="eastAsia" w:ascii="宋体" w:hAnsi="宋体"/>
                <w:sz w:val="24"/>
              </w:rPr>
              <w:t>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宋体" w:hAnsi="宋体"/>
                <w:sz w:val="24"/>
              </w:rPr>
            </w:pPr>
            <w:r>
              <w:rPr>
                <w:rFonts w:hint="eastAsia" w:ascii="宋体" w:hAnsi="宋体"/>
                <w:sz w:val="24"/>
              </w:rPr>
              <w:t>由评委根据投标人承诺的产品质量保证、售后服务保障体系、售后服务人员的技术水平及现场服务措施、最终供货服务能力、</w:t>
            </w:r>
            <w:r>
              <w:rPr>
                <w:rFonts w:hint="eastAsia" w:ascii="宋体" w:hAnsi="宋体"/>
                <w:b/>
                <w:bCs/>
                <w:sz w:val="24"/>
                <w:lang w:eastAsia="zh-CN"/>
              </w:rPr>
              <w:t>试剂耗材供应保障能力</w:t>
            </w:r>
            <w:r>
              <w:rPr>
                <w:rFonts w:hint="eastAsia" w:ascii="宋体" w:hAnsi="宋体"/>
                <w:sz w:val="24"/>
                <w:lang w:eastAsia="zh-CN"/>
              </w:rPr>
              <w:t>、</w:t>
            </w:r>
            <w:r>
              <w:rPr>
                <w:rFonts w:hint="eastAsia" w:ascii="宋体" w:hAnsi="宋体"/>
                <w:sz w:val="24"/>
              </w:rPr>
              <w:t>故障解决能力、服务响应时间、培训承诺情况等进行独立打分，最低要求为2小时内响应，5小时内到现场，24小时内解决问题，不能修复的，以保证用户的正常运行。分为：优秀的得</w:t>
            </w:r>
            <w:r>
              <w:rPr>
                <w:rFonts w:hint="eastAsia" w:ascii="宋体" w:hAnsi="宋体"/>
                <w:sz w:val="24"/>
                <w:lang w:val="en-US" w:eastAsia="zh-CN"/>
              </w:rPr>
              <w:t>5</w:t>
            </w:r>
            <w:r>
              <w:rPr>
                <w:rFonts w:hint="eastAsia" w:ascii="宋体" w:hAnsi="宋体"/>
                <w:sz w:val="24"/>
              </w:rPr>
              <w:t>分；良好的得</w:t>
            </w:r>
            <w:r>
              <w:rPr>
                <w:rFonts w:hint="eastAsia" w:ascii="宋体" w:hAnsi="宋体"/>
                <w:sz w:val="24"/>
                <w:lang w:val="en-US" w:eastAsia="zh-CN"/>
              </w:rPr>
              <w:t>3</w:t>
            </w:r>
            <w:r>
              <w:rPr>
                <w:rFonts w:hint="eastAsia" w:ascii="宋体" w:hAnsi="宋体"/>
                <w:sz w:val="24"/>
              </w:rPr>
              <w:t>分；一般的得1分。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sz w:val="24"/>
                <w:lang w:eastAsia="zh-CN"/>
              </w:rPr>
            </w:pPr>
            <w:r>
              <w:rPr>
                <w:rFonts w:hint="eastAsia" w:ascii="宋体" w:hAns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所投产品相关业绩</w:t>
            </w:r>
            <w:r>
              <w:rPr>
                <w:rFonts w:hint="eastAsia" w:ascii="宋体" w:hAnsi="宋体"/>
                <w:sz w:val="24"/>
                <w:lang w:val="en-US" w:eastAsia="zh-CN"/>
              </w:rPr>
              <w:t>8</w:t>
            </w:r>
            <w:r>
              <w:rPr>
                <w:rFonts w:hint="eastAsia" w:ascii="宋体" w:hAnsi="宋体"/>
                <w:sz w:val="24"/>
              </w:rPr>
              <w:t>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宋体" w:hAnsi="宋体"/>
                <w:sz w:val="24"/>
              </w:rPr>
            </w:pPr>
            <w:r>
              <w:rPr>
                <w:rFonts w:hint="eastAsia" w:ascii="宋体" w:hAnsi="宋体"/>
                <w:sz w:val="24"/>
                <w:lang w:eastAsia="zh-CN"/>
              </w:rPr>
              <w:t>投标方提供三甲医院正在使用的证明，每提供一份得</w:t>
            </w:r>
            <w:r>
              <w:rPr>
                <w:rFonts w:hint="eastAsia" w:ascii="宋体" w:hAnsi="宋体"/>
                <w:sz w:val="24"/>
                <w:lang w:val="en-US" w:eastAsia="zh-CN"/>
              </w:rPr>
              <w:t>2分，共8</w:t>
            </w:r>
            <w:r>
              <w:rPr>
                <w:rFonts w:hint="eastAsia" w:ascii="宋体" w:hAnsi="宋体"/>
                <w:sz w:val="24"/>
              </w:rPr>
              <w:t>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宋体" w:hAnsi="宋体" w:eastAsia="宋体"/>
                <w:sz w:val="24"/>
                <w:lang w:val="en-US" w:eastAsia="zh-CN"/>
              </w:rPr>
            </w:pPr>
            <w:r>
              <w:rPr>
                <w:rFonts w:hint="eastAsia" w:ascii="宋体" w:hAnsi="宋体"/>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color w:val="auto"/>
                <w:sz w:val="24"/>
              </w:rPr>
            </w:pPr>
            <w:r>
              <w:rPr>
                <w:rFonts w:hint="eastAsia" w:ascii="宋体" w:hAnsi="宋体"/>
                <w:color w:val="auto"/>
                <w:sz w:val="24"/>
                <w:lang w:eastAsia="zh-CN"/>
              </w:rPr>
              <w:t>局部改建、</w:t>
            </w:r>
            <w:r>
              <w:rPr>
                <w:rFonts w:hint="eastAsia" w:ascii="宋体" w:hAnsi="宋体"/>
                <w:color w:val="auto"/>
                <w:sz w:val="24"/>
              </w:rPr>
              <w:t>交</w:t>
            </w:r>
            <w:r>
              <w:rPr>
                <w:rFonts w:hint="eastAsia" w:ascii="宋体" w:hAnsi="宋体"/>
                <w:color w:val="auto"/>
                <w:sz w:val="24"/>
                <w:lang w:eastAsia="zh-CN"/>
              </w:rPr>
              <w:t>货</w:t>
            </w:r>
            <w:r>
              <w:rPr>
                <w:rFonts w:hint="eastAsia" w:ascii="宋体" w:hAnsi="宋体"/>
                <w:color w:val="auto"/>
                <w:sz w:val="24"/>
              </w:rPr>
              <w:t>日期</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15</w:t>
            </w:r>
            <w:r>
              <w:rPr>
                <w:rFonts w:hint="eastAsia" w:ascii="宋体" w:hAnsi="宋体"/>
                <w:color w:val="auto"/>
                <w:sz w:val="24"/>
              </w:rPr>
              <w:t>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宋体"/>
                <w:sz w:val="24"/>
                <w:szCs w:val="24"/>
                <w:lang w:val="en-US" w:eastAsia="zh-CN"/>
              </w:rPr>
              <w:t>在保障核酸采集、检测、报告日常工作的情况下，</w:t>
            </w:r>
            <w:r>
              <w:rPr>
                <w:rFonts w:hint="eastAsia" w:ascii="宋体" w:hAnsi="宋体" w:cs="宋体"/>
                <w:sz w:val="24"/>
                <w:szCs w:val="24"/>
                <w:lang w:val="en-US" w:eastAsia="zh-CN"/>
              </w:rPr>
              <w:t>允许</w:t>
            </w:r>
            <w:r>
              <w:rPr>
                <w:rFonts w:hint="eastAsia" w:ascii="宋体" w:hAnsi="宋体" w:eastAsia="宋体" w:cs="宋体"/>
                <w:sz w:val="24"/>
                <w:szCs w:val="24"/>
                <w:lang w:val="en-US" w:eastAsia="zh-CN"/>
              </w:rPr>
              <w:t>根据自身设备安装条件对实验室环境进行</w:t>
            </w:r>
            <w:r>
              <w:rPr>
                <w:rFonts w:hint="eastAsia" w:ascii="宋体" w:hAnsi="宋体" w:cs="宋体"/>
                <w:sz w:val="24"/>
                <w:szCs w:val="24"/>
                <w:lang w:val="en-US" w:eastAsia="zh-CN"/>
              </w:rPr>
              <w:t>局部</w:t>
            </w:r>
            <w:r>
              <w:rPr>
                <w:rFonts w:hint="eastAsia" w:ascii="宋体" w:hAnsi="宋体" w:eastAsia="宋体" w:cs="宋体"/>
                <w:sz w:val="24"/>
                <w:szCs w:val="24"/>
                <w:lang w:val="en-US" w:eastAsia="zh-CN"/>
              </w:rPr>
              <w:t>改建，并符合国家、省、市相关部门对</w:t>
            </w:r>
            <w:r>
              <w:rPr>
                <w:rFonts w:hint="eastAsia" w:ascii="宋体" w:hAnsi="宋体" w:cs="宋体"/>
                <w:sz w:val="24"/>
                <w:szCs w:val="24"/>
                <w:lang w:val="en-US" w:eastAsia="zh-CN"/>
              </w:rPr>
              <w:t>PCR实验室及其</w:t>
            </w:r>
            <w:r>
              <w:rPr>
                <w:rFonts w:hint="eastAsia" w:ascii="宋体" w:hAnsi="宋体" w:eastAsia="宋体" w:cs="宋体"/>
                <w:sz w:val="24"/>
                <w:szCs w:val="24"/>
                <w:lang w:val="en-US" w:eastAsia="zh-CN"/>
              </w:rPr>
              <w:t>新风系统、制冷、空调</w:t>
            </w:r>
            <w:r>
              <w:rPr>
                <w:rFonts w:hint="eastAsia" w:ascii="宋体" w:hAnsi="宋体" w:cs="宋体"/>
                <w:sz w:val="24"/>
                <w:szCs w:val="24"/>
                <w:lang w:val="en-US" w:eastAsia="zh-CN"/>
              </w:rPr>
              <w:t>等设备</w:t>
            </w:r>
            <w:r>
              <w:rPr>
                <w:rFonts w:hint="eastAsia" w:ascii="宋体" w:hAnsi="宋体" w:eastAsia="宋体" w:cs="宋体"/>
                <w:sz w:val="24"/>
                <w:szCs w:val="24"/>
                <w:lang w:val="en-US" w:eastAsia="zh-CN"/>
              </w:rPr>
              <w:t>的</w:t>
            </w:r>
            <w:r>
              <w:rPr>
                <w:rFonts w:hint="eastAsia" w:ascii="宋体" w:hAnsi="宋体" w:cs="宋体"/>
                <w:sz w:val="24"/>
                <w:szCs w:val="24"/>
                <w:lang w:val="en-US" w:eastAsia="zh-CN"/>
              </w:rPr>
              <w:t>规范</w:t>
            </w:r>
            <w:r>
              <w:rPr>
                <w:rFonts w:hint="eastAsia" w:ascii="宋体" w:hAnsi="宋体" w:eastAsia="宋体" w:cs="宋体"/>
                <w:sz w:val="24"/>
                <w:szCs w:val="24"/>
                <w:lang w:val="en-US" w:eastAsia="zh-CN"/>
              </w:rPr>
              <w:t>要求</w:t>
            </w:r>
            <w:r>
              <w:rPr>
                <w:rFonts w:hint="eastAsia" w:ascii="宋体" w:hAnsi="宋体" w:cs="宋体"/>
                <w:sz w:val="24"/>
                <w:szCs w:val="24"/>
                <w:lang w:val="en-US" w:eastAsia="zh-CN"/>
              </w:rPr>
              <w:t>；</w:t>
            </w:r>
            <w:r>
              <w:rPr>
                <w:rFonts w:hint="eastAsia" w:ascii="宋体" w:hAnsi="宋体" w:eastAsia="宋体" w:cs="宋体"/>
                <w:color w:val="auto"/>
                <w:sz w:val="24"/>
                <w:szCs w:val="24"/>
                <w:lang w:val="en-US" w:eastAsia="zh-CN"/>
              </w:rPr>
              <w:t>供货</w:t>
            </w:r>
            <w:r>
              <w:rPr>
                <w:rFonts w:hint="eastAsia" w:ascii="宋体" w:hAnsi="宋体" w:cs="宋体"/>
                <w:color w:val="auto"/>
                <w:sz w:val="24"/>
                <w:szCs w:val="24"/>
                <w:lang w:val="en-US" w:eastAsia="zh-CN"/>
              </w:rPr>
              <w:t>、改建、</w:t>
            </w:r>
            <w:r>
              <w:rPr>
                <w:rFonts w:hint="eastAsia" w:ascii="宋体" w:hAnsi="宋体" w:eastAsia="宋体" w:cs="宋体"/>
                <w:color w:val="auto"/>
                <w:sz w:val="24"/>
                <w:szCs w:val="24"/>
                <w:lang w:val="en-US" w:eastAsia="zh-CN"/>
              </w:rPr>
              <w:t>安装</w:t>
            </w:r>
            <w:r>
              <w:rPr>
                <w:rFonts w:hint="eastAsia" w:ascii="宋体" w:hAnsi="宋体" w:cs="宋体"/>
                <w:color w:val="auto"/>
                <w:sz w:val="24"/>
                <w:szCs w:val="24"/>
                <w:lang w:val="en-US" w:eastAsia="zh-CN"/>
              </w:rPr>
              <w:t>、调试工期均不超过4月20日。</w:t>
            </w:r>
            <w:r>
              <w:rPr>
                <w:rFonts w:hint="eastAsia" w:ascii="宋体" w:hAnsi="宋体"/>
                <w:sz w:val="24"/>
              </w:rPr>
              <w:t>优秀的</w:t>
            </w:r>
            <w:r>
              <w:rPr>
                <w:rFonts w:hint="eastAsia" w:ascii="宋体" w:hAnsi="宋体"/>
                <w:sz w:val="24"/>
                <w:lang w:val="en-US" w:eastAsia="zh-CN"/>
              </w:rPr>
              <w:t>10</w:t>
            </w:r>
            <w:r>
              <w:rPr>
                <w:rFonts w:hint="eastAsia" w:ascii="宋体" w:hAnsi="宋体"/>
                <w:sz w:val="24"/>
              </w:rPr>
              <w:t>分≤得分≤</w:t>
            </w:r>
            <w:r>
              <w:rPr>
                <w:rFonts w:hint="eastAsia" w:ascii="宋体" w:hAnsi="宋体"/>
                <w:sz w:val="24"/>
                <w:lang w:val="en-US" w:eastAsia="zh-CN"/>
              </w:rPr>
              <w:t>15</w:t>
            </w:r>
            <w:r>
              <w:rPr>
                <w:rFonts w:hint="eastAsia" w:ascii="宋体" w:hAnsi="宋体"/>
                <w:sz w:val="24"/>
              </w:rPr>
              <w:t>分，良好的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10</w:t>
            </w:r>
            <w:r>
              <w:rPr>
                <w:rFonts w:hint="eastAsia" w:ascii="宋体" w:hAnsi="宋体"/>
                <w:sz w:val="24"/>
              </w:rPr>
              <w:t>分，一般的</w:t>
            </w:r>
            <w:r>
              <w:rPr>
                <w:rFonts w:hint="eastAsia" w:ascii="宋体" w:hAnsi="宋体"/>
                <w:sz w:val="24"/>
                <w:lang w:val="en-US" w:eastAsia="zh-CN"/>
              </w:rPr>
              <w:t>5</w:t>
            </w:r>
            <w:r>
              <w:rPr>
                <w:rFonts w:hint="eastAsia" w:ascii="宋体" w:hAnsi="宋体"/>
                <w:sz w:val="24"/>
              </w:rPr>
              <w:t>分≤得分＜</w:t>
            </w:r>
            <w:r>
              <w:rPr>
                <w:rFonts w:hint="eastAsia" w:ascii="宋体" w:hAnsi="宋体"/>
                <w:sz w:val="24"/>
                <w:lang w:val="en-US" w:eastAsia="zh-CN"/>
              </w:rPr>
              <w:t>0</w:t>
            </w:r>
            <w:r>
              <w:rPr>
                <w:rFonts w:hint="eastAsia" w:ascii="宋体" w:hAnsi="宋体"/>
                <w:sz w:val="24"/>
              </w:rPr>
              <w:t>分</w:t>
            </w:r>
            <w:r>
              <w:rPr>
                <w:rFonts w:hint="eastAsia" w:ascii="宋体" w:hAnsi="宋体" w:eastAsia="宋体" w:cs="宋体"/>
                <w:color w:val="auto"/>
                <w:sz w:val="24"/>
                <w:szCs w:val="24"/>
              </w:rPr>
              <w:t>。</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宋体" w:hAnsi="宋体" w:eastAsia="宋体" w:cs="Times New Roman"/>
                <w:color w:val="auto"/>
                <w:kern w:val="2"/>
                <w:sz w:val="24"/>
                <w:szCs w:val="24"/>
                <w:lang w:val="en-US" w:eastAsia="zh-CN" w:bidi="ar-SA"/>
              </w:rPr>
            </w:pPr>
            <w:r>
              <w:rPr>
                <w:rFonts w:hint="eastAsia" w:ascii="宋体" w:hAnsi="宋体"/>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p>
        </w:tc>
        <w:tc>
          <w:tcPr>
            <w:tcW w:w="176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eastAsia" w:ascii="宋体" w:hAnsi="宋体"/>
                <w:sz w:val="24"/>
              </w:rPr>
            </w:pPr>
            <w:r>
              <w:rPr>
                <w:rFonts w:hint="eastAsia" w:ascii="宋体" w:hAnsi="宋体"/>
                <w:sz w:val="24"/>
              </w:rPr>
              <w:t>标书规范性</w:t>
            </w:r>
          </w:p>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lang w:val="en-US" w:eastAsia="zh-CN"/>
              </w:rPr>
              <w:t>2</w:t>
            </w:r>
            <w:r>
              <w:rPr>
                <w:rFonts w:hint="eastAsia" w:ascii="宋体" w:hAnsi="宋体"/>
                <w:sz w:val="24"/>
              </w:rPr>
              <w:t>分</w:t>
            </w:r>
          </w:p>
        </w:tc>
        <w:tc>
          <w:tcPr>
            <w:tcW w:w="5149" w:type="dxa"/>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宋体" w:hAnsi="宋体"/>
                <w:sz w:val="24"/>
              </w:rPr>
            </w:pPr>
            <w:r>
              <w:rPr>
                <w:rFonts w:hint="eastAsia" w:ascii="宋体" w:hAnsi="宋体"/>
                <w:sz w:val="24"/>
              </w:rPr>
              <w:t>投标文件制作精细，资料目录页码编排规范</w:t>
            </w:r>
            <w:r>
              <w:rPr>
                <w:rFonts w:hint="eastAsia" w:ascii="宋体" w:hAnsi="宋体"/>
                <w:sz w:val="24"/>
                <w:lang w:eastAsia="zh-CN"/>
              </w:rPr>
              <w:t>有序</w:t>
            </w:r>
            <w:r>
              <w:rPr>
                <w:rFonts w:hint="eastAsia" w:ascii="宋体" w:hAnsi="宋体"/>
                <w:sz w:val="24"/>
              </w:rPr>
              <w:t>，编写无错误得</w:t>
            </w:r>
            <w:r>
              <w:rPr>
                <w:rFonts w:hint="eastAsia" w:ascii="宋体" w:hAnsi="宋体"/>
                <w:sz w:val="24"/>
                <w:lang w:val="en-US" w:eastAsia="zh-CN"/>
              </w:rPr>
              <w:t>2</w:t>
            </w:r>
            <w:r>
              <w:rPr>
                <w:rFonts w:hint="eastAsia" w:ascii="宋体" w:hAnsi="宋体"/>
                <w:sz w:val="24"/>
              </w:rPr>
              <w:t>分；投标文件制作一般，资料目录页码编排基本规范，编写有微小错误得</w:t>
            </w:r>
            <w:r>
              <w:rPr>
                <w:rFonts w:hint="eastAsia" w:ascii="宋体" w:hAnsi="宋体"/>
                <w:sz w:val="24"/>
                <w:lang w:val="en-US" w:eastAsia="zh-CN"/>
              </w:rPr>
              <w:t>1</w:t>
            </w:r>
            <w:r>
              <w:rPr>
                <w:rFonts w:hint="eastAsia" w:ascii="宋体" w:hAnsi="宋体"/>
                <w:sz w:val="24"/>
              </w:rPr>
              <w:t>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hint="default" w:ascii="宋体" w:hAnsi="宋体" w:eastAsia="宋体"/>
                <w:sz w:val="24"/>
                <w:lang w:val="en-US" w:eastAsia="zh-CN"/>
              </w:rPr>
            </w:pPr>
            <w:r>
              <w:rPr>
                <w:rFonts w:hint="eastAsia" w:ascii="宋体" w:hAnsi="宋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830" w:type="dxa"/>
            <w:gridSpan w:val="3"/>
            <w:vAlign w:val="center"/>
          </w:tcPr>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ascii="宋体" w:hAnsi="宋体"/>
                <w:sz w:val="24"/>
              </w:rPr>
            </w:pPr>
            <w:r>
              <w:rPr>
                <w:rFonts w:hint="eastAsia" w:ascii="宋体" w:hAnsi="宋体"/>
                <w:sz w:val="24"/>
              </w:rPr>
              <w:t>合计得分</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460" w:lineRule="exact"/>
              <w:jc w:val="center"/>
              <w:textAlignment w:val="auto"/>
              <w:rPr>
                <w:rFonts w:ascii="宋体" w:hAnsi="宋体"/>
                <w:sz w:val="24"/>
              </w:rPr>
            </w:pPr>
            <w:r>
              <w:rPr>
                <w:rFonts w:hint="eastAsia" w:ascii="宋体" w:hAnsi="宋体"/>
                <w:sz w:val="24"/>
              </w:rPr>
              <w:t>100</w:t>
            </w:r>
          </w:p>
        </w:tc>
      </w:tr>
    </w:tbl>
    <w:p>
      <w:pPr>
        <w:pageBreakBefore w:val="0"/>
        <w:kinsoku/>
        <w:wordWrap/>
        <w:overflowPunct/>
        <w:topLinePunct w:val="0"/>
        <w:bidi w:val="0"/>
        <w:snapToGrid w:val="0"/>
        <w:spacing w:line="56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注：投标人不足</w:t>
      </w:r>
      <w:r>
        <w:rPr>
          <w:rFonts w:hint="eastAsia" w:ascii="仿宋_GB2312" w:hAnsi="仿宋_GB2312" w:eastAsia="仿宋_GB2312" w:cs="仿宋_GB2312"/>
          <w:b/>
          <w:sz w:val="32"/>
          <w:szCs w:val="32"/>
          <w:lang w:val="en-US" w:eastAsia="zh-CN"/>
        </w:rPr>
        <w:t>3家，如为2家可直接转为竞争性谈判方式采购。</w:t>
      </w:r>
    </w:p>
    <w:p>
      <w:pPr>
        <w:pageBreakBefore w:val="0"/>
        <w:kinsoku/>
        <w:wordWrap/>
        <w:overflowPunct/>
        <w:topLinePunct w:val="0"/>
        <w:bidi w:val="0"/>
        <w:snapToGrid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（四）质疑</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1、质疑提出</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潜在供应商认为采购招标文件、</w:t>
      </w:r>
      <w:r>
        <w:rPr>
          <w:rFonts w:hint="eastAsia" w:ascii="仿宋_GB2312" w:hAnsi="仿宋_GB2312" w:eastAsia="仿宋_GB2312" w:cs="仿宋_GB2312"/>
          <w:b w:val="0"/>
          <w:bCs w:val="0"/>
          <w:sz w:val="32"/>
          <w:szCs w:val="32"/>
          <w:lang w:eastAsia="zh-CN"/>
        </w:rPr>
        <w:t>投标</w:t>
      </w:r>
      <w:r>
        <w:rPr>
          <w:rFonts w:hint="eastAsia" w:ascii="仿宋_GB2312" w:hAnsi="仿宋_GB2312" w:eastAsia="仿宋_GB2312" w:cs="仿宋_GB2312"/>
          <w:b w:val="0"/>
          <w:bCs w:val="0"/>
          <w:sz w:val="32"/>
          <w:szCs w:val="32"/>
        </w:rPr>
        <w:t>过程、</w:t>
      </w:r>
      <w:r>
        <w:rPr>
          <w:rFonts w:hint="eastAsia" w:ascii="仿宋_GB2312" w:hAnsi="仿宋_GB2312" w:eastAsia="仿宋_GB2312" w:cs="仿宋_GB2312"/>
          <w:b w:val="0"/>
          <w:bCs w:val="0"/>
          <w:sz w:val="32"/>
          <w:szCs w:val="32"/>
          <w:lang w:eastAsia="zh-CN"/>
        </w:rPr>
        <w:t>评</w:t>
      </w:r>
      <w:r>
        <w:rPr>
          <w:rFonts w:hint="eastAsia" w:ascii="仿宋_GB2312" w:hAnsi="仿宋_GB2312" w:eastAsia="仿宋_GB2312" w:cs="仿宋_GB2312"/>
          <w:b w:val="0"/>
          <w:bCs w:val="0"/>
          <w:sz w:val="32"/>
          <w:szCs w:val="32"/>
        </w:rPr>
        <w:t>标或者成交结果使自己的权益受到损害的，可以在招标投标截止之日前或宣布评标结果</w:t>
      </w:r>
      <w:r>
        <w:rPr>
          <w:rFonts w:hint="eastAsia" w:ascii="仿宋_GB2312" w:hAnsi="仿宋_GB2312" w:eastAsia="仿宋_GB2312" w:cs="仿宋_GB2312"/>
          <w:b w:val="0"/>
          <w:bCs w:val="0"/>
          <w:color w:val="auto"/>
          <w:sz w:val="32"/>
          <w:szCs w:val="32"/>
        </w:rPr>
        <w:t>后，现场</w:t>
      </w:r>
      <w:r>
        <w:rPr>
          <w:rFonts w:hint="eastAsia" w:ascii="仿宋_GB2312" w:hAnsi="仿宋_GB2312" w:eastAsia="仿宋_GB2312" w:cs="仿宋_GB2312"/>
          <w:b w:val="0"/>
          <w:bCs w:val="0"/>
          <w:sz w:val="32"/>
          <w:szCs w:val="32"/>
        </w:rPr>
        <w:t>以书面形式一次性提出质疑，</w:t>
      </w:r>
      <w:r>
        <w:rPr>
          <w:rFonts w:hint="eastAsia" w:ascii="仿宋_GB2312" w:hAnsi="仿宋_GB2312" w:eastAsia="仿宋_GB2312" w:cs="仿宋_GB2312"/>
          <w:b w:val="0"/>
          <w:bCs w:val="0"/>
          <w:sz w:val="32"/>
          <w:szCs w:val="32"/>
          <w:lang w:eastAsia="zh-CN"/>
        </w:rPr>
        <w:t>中标结果公示</w:t>
      </w:r>
      <w:r>
        <w:rPr>
          <w:rFonts w:hint="eastAsia" w:ascii="仿宋_GB2312" w:hAnsi="仿宋_GB2312" w:eastAsia="仿宋_GB2312" w:cs="仿宋_GB2312"/>
          <w:b w:val="0"/>
          <w:bCs w:val="0"/>
          <w:sz w:val="32"/>
          <w:szCs w:val="32"/>
        </w:rPr>
        <w:t>结束后不再接受任何质疑。</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2、质疑应提交的文件资料</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潜在供应商提出质疑应当提交质疑函和必要的证明材料。质疑函应当包括下列内容：</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（1）供应商的姓名或者名称、地址、邮编、联系人及联系电话；</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（2）质疑项目的名称、编号；</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（3）具体、明确的质疑事项和与质疑事项相关的请求；</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（4）事实依据；</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（5）必要的法律依据；</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（6）提出质疑的日期。</w:t>
      </w:r>
    </w:p>
    <w:p>
      <w:pPr>
        <w:pStyle w:val="38"/>
        <w:pageBreakBefore w:val="0"/>
        <w:kinsoku/>
        <w:wordWrap/>
        <w:overflowPunct/>
        <w:topLinePunct w:val="0"/>
        <w:bidi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w:t>
      </w:r>
      <w:r>
        <w:rPr>
          <w:rFonts w:hint="eastAsia" w:ascii="仿宋_GB2312" w:hAnsi="仿宋_GB2312" w:eastAsia="仿宋_GB2312" w:cs="仿宋_GB2312"/>
          <w:b/>
          <w:bCs/>
          <w:kern w:val="0"/>
          <w:sz w:val="32"/>
          <w:szCs w:val="32"/>
        </w:rPr>
        <w:t>投标人须知附表</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sz w:val="32"/>
          <w:szCs w:val="32"/>
        </w:rPr>
        <w:t>本《投标人须知附表》是对《投标人须知》的具体补充和修改，如有矛盾，应以本《投标人须知前附表》为准。</w:t>
      </w:r>
    </w:p>
    <w:tbl>
      <w:tblPr>
        <w:tblStyle w:val="1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
                <w:sz w:val="24"/>
              </w:rPr>
            </w:pPr>
            <w:r>
              <w:rPr>
                <w:rFonts w:hint="eastAsia" w:ascii="宋体" w:hAnsi="宋体" w:cs="宋体"/>
                <w:b/>
                <w:sz w:val="24"/>
              </w:rPr>
              <w:t>序号</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
                <w:sz w:val="24"/>
              </w:rPr>
            </w:pPr>
            <w:r>
              <w:rPr>
                <w:rFonts w:hint="eastAsia" w:ascii="宋体" w:hAnsi="宋体" w:cs="宋体"/>
                <w:b/>
                <w:sz w:val="24"/>
              </w:rPr>
              <w:t>内容</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textAlignment w:val="auto"/>
              <w:rPr>
                <w:rFonts w:cs="宋体"/>
                <w:bCs w:val="0"/>
                <w:kern w:val="2"/>
                <w:sz w:val="24"/>
                <w:szCs w:val="20"/>
              </w:rPr>
            </w:pPr>
            <w:r>
              <w:rPr>
                <w:rFonts w:hint="eastAsia" w:cs="宋体"/>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ascii="宋体" w:hAnsi="宋体" w:cs="宋体"/>
                <w:color w:val="000000"/>
                <w:sz w:val="22"/>
                <w:szCs w:val="22"/>
              </w:rPr>
            </w:pPr>
            <w:r>
              <w:rPr>
                <w:rFonts w:hint="eastAsia"/>
                <w:color w:val="000000"/>
                <w:sz w:val="22"/>
                <w:szCs w:val="22"/>
              </w:rPr>
              <w:t>1</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Cs/>
                <w:sz w:val="24"/>
              </w:rPr>
            </w:pPr>
            <w:r>
              <w:rPr>
                <w:rFonts w:hint="eastAsia" w:ascii="宋体" w:hAnsi="宋体" w:cs="宋体"/>
                <w:bCs/>
                <w:sz w:val="24"/>
              </w:rPr>
              <w:t>采购人</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jc w:val="both"/>
              <w:textAlignment w:val="auto"/>
              <w:rPr>
                <w:rFonts w:hint="eastAsia" w:eastAsia="宋体" w:cs="宋体"/>
                <w:b w:val="0"/>
                <w:bCs w:val="0"/>
                <w:kern w:val="2"/>
                <w:sz w:val="24"/>
                <w:szCs w:val="20"/>
                <w:lang w:eastAsia="zh-CN"/>
              </w:rPr>
            </w:pPr>
            <w:r>
              <w:rPr>
                <w:rFonts w:hint="eastAsia" w:cs="宋体"/>
                <w:b w:val="0"/>
                <w:bCs w:val="0"/>
                <w:sz w:val="24"/>
                <w:szCs w:val="18"/>
                <w:lang w:eastAsia="zh-CN"/>
              </w:rPr>
              <w:t>淮北市第四人民医院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ascii="宋体" w:hAnsi="宋体" w:cs="宋体"/>
                <w:color w:val="000000"/>
                <w:sz w:val="22"/>
                <w:szCs w:val="22"/>
              </w:rPr>
            </w:pPr>
            <w:r>
              <w:rPr>
                <w:rFonts w:hint="eastAsia"/>
                <w:color w:val="000000"/>
                <w:sz w:val="22"/>
                <w:szCs w:val="22"/>
              </w:rPr>
              <w:t>2</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Cs/>
                <w:sz w:val="24"/>
              </w:rPr>
            </w:pPr>
            <w:r>
              <w:rPr>
                <w:rFonts w:hint="eastAsia" w:ascii="宋体" w:hAnsi="宋体" w:cs="宋体"/>
                <w:bCs/>
                <w:sz w:val="24"/>
              </w:rPr>
              <w:t>出资人</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jc w:val="both"/>
              <w:textAlignment w:val="auto"/>
              <w:rPr>
                <w:rFonts w:hint="eastAsia" w:eastAsia="宋体" w:cs="宋体"/>
                <w:b w:val="0"/>
                <w:bCs w:val="0"/>
                <w:sz w:val="24"/>
                <w:szCs w:val="18"/>
                <w:lang w:eastAsia="zh-CN"/>
              </w:rPr>
            </w:pPr>
            <w:r>
              <w:rPr>
                <w:rFonts w:hint="eastAsia" w:cs="宋体"/>
                <w:b w:val="0"/>
                <w:bCs w:val="0"/>
                <w:sz w:val="24"/>
                <w:szCs w:val="18"/>
                <w:lang w:eastAsia="zh-CN"/>
              </w:rPr>
              <w:t>淮北市第四人民医院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ascii="宋体" w:hAnsi="宋体" w:cs="宋体"/>
                <w:color w:val="000000"/>
                <w:sz w:val="22"/>
                <w:szCs w:val="22"/>
              </w:rPr>
            </w:pPr>
            <w:r>
              <w:rPr>
                <w:rFonts w:hint="eastAsia"/>
                <w:color w:val="000000"/>
                <w:sz w:val="22"/>
                <w:szCs w:val="22"/>
              </w:rPr>
              <w:t>3</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项目名称</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jc w:val="both"/>
              <w:textAlignment w:val="auto"/>
              <w:rPr>
                <w:rFonts w:cs="宋体"/>
                <w:b w:val="0"/>
                <w:bCs w:val="0"/>
                <w:sz w:val="24"/>
                <w:szCs w:val="18"/>
              </w:rPr>
            </w:pPr>
            <w:r>
              <w:rPr>
                <w:rFonts w:hint="eastAsia" w:cs="宋体"/>
                <w:b w:val="0"/>
                <w:bCs w:val="0"/>
                <w:kern w:val="2"/>
                <w:sz w:val="24"/>
                <w:szCs w:val="24"/>
              </w:rPr>
              <w:t>淮北市</w:t>
            </w:r>
            <w:r>
              <w:rPr>
                <w:rFonts w:hint="eastAsia" w:cs="宋体"/>
                <w:b w:val="0"/>
                <w:bCs w:val="0"/>
                <w:kern w:val="2"/>
                <w:sz w:val="24"/>
                <w:szCs w:val="24"/>
                <w:lang w:eastAsia="zh-CN"/>
              </w:rPr>
              <w:t>第四人民医院核酸检测设备紧急</w:t>
            </w:r>
            <w:r>
              <w:rPr>
                <w:rFonts w:hint="eastAsia" w:cs="宋体"/>
                <w:b w:val="0"/>
                <w:bCs w:val="0"/>
                <w:kern w:val="2"/>
                <w:sz w:val="24"/>
                <w:szCs w:val="24"/>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ascii="宋体" w:hAnsi="宋体" w:cs="宋体"/>
                <w:color w:val="000000"/>
                <w:sz w:val="22"/>
                <w:szCs w:val="22"/>
              </w:rPr>
            </w:pPr>
            <w:r>
              <w:rPr>
                <w:rFonts w:hint="eastAsia"/>
                <w:color w:val="000000"/>
                <w:sz w:val="22"/>
                <w:szCs w:val="22"/>
              </w:rPr>
              <w:t>4</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项目编号</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jc w:val="both"/>
              <w:textAlignment w:val="auto"/>
              <w:rPr>
                <w:rFonts w:hint="default" w:eastAsia="宋体" w:cs="宋体"/>
                <w:b w:val="0"/>
                <w:bCs w:val="0"/>
                <w:sz w:val="24"/>
                <w:szCs w:val="18"/>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ascii="宋体" w:hAnsi="宋体" w:cs="宋体"/>
                <w:color w:val="000000"/>
                <w:sz w:val="22"/>
                <w:szCs w:val="22"/>
              </w:rPr>
            </w:pPr>
            <w:r>
              <w:rPr>
                <w:rFonts w:hint="eastAsia"/>
                <w:color w:val="000000"/>
                <w:sz w:val="22"/>
                <w:szCs w:val="22"/>
              </w:rPr>
              <w:t>5</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sz w:val="24"/>
                <w:lang w:eastAsia="zh-CN"/>
              </w:rPr>
              <w:t>采购</w:t>
            </w:r>
            <w:r>
              <w:rPr>
                <w:rFonts w:hint="eastAsia"/>
                <w:sz w:val="24"/>
              </w:rPr>
              <w:t>形式</w:t>
            </w:r>
          </w:p>
        </w:tc>
        <w:tc>
          <w:tcPr>
            <w:tcW w:w="6090" w:type="dxa"/>
            <w:vAlign w:val="center"/>
          </w:tcPr>
          <w:p>
            <w:pPr>
              <w:pStyle w:val="45"/>
              <w:pageBreakBefore w:val="0"/>
              <w:widowControl w:val="0"/>
              <w:kinsoku/>
              <w:wordWrap/>
              <w:overflowPunct/>
              <w:topLinePunct w:val="0"/>
              <w:bidi w:val="0"/>
              <w:snapToGrid w:val="0"/>
              <w:spacing w:before="0" w:beforeAutospacing="0" w:after="0" w:afterAutospacing="0" w:line="400" w:lineRule="exact"/>
              <w:jc w:val="both"/>
              <w:textAlignment w:val="auto"/>
              <w:rPr>
                <w:rFonts w:cs="宋体"/>
                <w:b w:val="0"/>
                <w:bCs w:val="0"/>
                <w:kern w:val="2"/>
                <w:sz w:val="24"/>
                <w:szCs w:val="20"/>
              </w:rPr>
            </w:pPr>
            <w:r>
              <w:rPr>
                <w:rFonts w:hint="eastAsia"/>
                <w:sz w:val="24"/>
              </w:rPr>
              <w:t>应急采购公开招标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eastAsia" w:ascii="宋体" w:hAnsi="宋体" w:eastAsia="宋体" w:cs="宋体"/>
                <w:color w:val="000000"/>
                <w:sz w:val="22"/>
                <w:szCs w:val="22"/>
                <w:lang w:eastAsia="zh-CN"/>
              </w:rPr>
            </w:pPr>
            <w:r>
              <w:rPr>
                <w:rFonts w:hint="eastAsia"/>
                <w:color w:val="000000"/>
                <w:sz w:val="22"/>
                <w:szCs w:val="22"/>
                <w:lang w:val="en-US" w:eastAsia="zh-CN"/>
              </w:rPr>
              <w:t>6</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lang w:val="zh-CN"/>
              </w:rPr>
              <w:t>付款方式</w:t>
            </w:r>
          </w:p>
        </w:tc>
        <w:tc>
          <w:tcPr>
            <w:tcW w:w="6090" w:type="dxa"/>
          </w:tcPr>
          <w:p>
            <w:pPr>
              <w:pageBreakBefore w:val="0"/>
              <w:widowControl w:val="0"/>
              <w:kinsoku/>
              <w:wordWrap/>
              <w:overflowPunct/>
              <w:topLinePunct w:val="0"/>
              <w:bidi w:val="0"/>
              <w:snapToGrid w:val="0"/>
              <w:spacing w:line="400" w:lineRule="exact"/>
              <w:textAlignment w:val="auto"/>
              <w:rPr>
                <w:rFonts w:ascii="宋体" w:hAnsi="宋体" w:cs="宋体"/>
                <w:u w:val="single"/>
                <w:lang w:val="zh-CN"/>
              </w:rPr>
            </w:pPr>
            <w:r>
              <w:rPr>
                <w:rFonts w:hint="eastAsia" w:ascii="宋体" w:hAnsi="宋体" w:cs="宋体"/>
                <w:sz w:val="24"/>
              </w:rPr>
              <w:t>付款方式：</w:t>
            </w:r>
            <w:r>
              <w:rPr>
                <w:rFonts w:hint="eastAsia" w:ascii="宋体" w:hAnsi="宋体"/>
                <w:sz w:val="24"/>
              </w:rPr>
              <w:t>货到安装调试验收合格并按时提供完整报账资料后三个月内支付合同价款的 95％</w:t>
            </w:r>
            <w:r>
              <w:rPr>
                <w:rFonts w:hint="eastAsia"/>
                <w:sz w:val="24"/>
              </w:rPr>
              <w:t>，余款在</w:t>
            </w:r>
            <w:r>
              <w:rPr>
                <w:rFonts w:hint="eastAsia"/>
                <w:sz w:val="24"/>
                <w:lang w:eastAsia="zh-CN"/>
              </w:rPr>
              <w:t>中标一年</w:t>
            </w:r>
            <w:r>
              <w:rPr>
                <w:rFonts w:hint="eastAsia"/>
                <w:sz w:val="24"/>
              </w:rPr>
              <w:t>后无息支付。</w:t>
            </w:r>
            <w:bookmarkStart w:id="76" w:name="_GoBack"/>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eastAsia" w:ascii="宋体" w:hAnsi="宋体" w:eastAsia="宋体" w:cs="宋体"/>
                <w:color w:val="000000"/>
                <w:sz w:val="22"/>
                <w:szCs w:val="22"/>
                <w:lang w:eastAsia="zh-CN"/>
              </w:rPr>
            </w:pPr>
            <w:r>
              <w:rPr>
                <w:rFonts w:hint="eastAsia"/>
                <w:color w:val="000000"/>
                <w:sz w:val="22"/>
                <w:szCs w:val="22"/>
                <w:lang w:val="en-US" w:eastAsia="zh-CN"/>
              </w:rPr>
              <w:t>7</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联合体投标</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w:t>
            </w:r>
            <w:r>
              <w:rPr>
                <w:rFonts w:hint="eastAsia" w:ascii="宋体" w:hAnsi="宋体" w:cs="宋体"/>
                <w:sz w:val="24"/>
                <w:lang w:val="zh-CN"/>
              </w:rPr>
              <w:t xml:space="preserve">允许  </w:t>
            </w:r>
            <w:r>
              <w:rPr>
                <w:rFonts w:hint="eastAsia" w:ascii="宋体" w:hAnsi="宋体" w:cs="宋体"/>
                <w:b/>
                <w:bCs/>
                <w:sz w:val="24"/>
              </w:rPr>
              <w:sym w:font="Wingdings" w:char="F0FE"/>
            </w: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eastAsia" w:ascii="宋体" w:hAnsi="宋体" w:eastAsia="宋体" w:cs="宋体"/>
                <w:color w:val="000000"/>
                <w:sz w:val="22"/>
                <w:szCs w:val="22"/>
                <w:lang w:eastAsia="zh-CN"/>
              </w:rPr>
            </w:pPr>
            <w:r>
              <w:rPr>
                <w:rFonts w:hint="eastAsia"/>
                <w:color w:val="000000"/>
                <w:sz w:val="22"/>
                <w:szCs w:val="22"/>
                <w:lang w:val="en-US" w:eastAsia="zh-CN"/>
              </w:rPr>
              <w:t>8</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供货及安装地点</w:t>
            </w:r>
          </w:p>
        </w:tc>
        <w:tc>
          <w:tcPr>
            <w:tcW w:w="6090" w:type="dxa"/>
          </w:tcPr>
          <w:p>
            <w:pPr>
              <w:pStyle w:val="42"/>
              <w:pageBreakBefore w:val="0"/>
              <w:widowControl w:val="0"/>
              <w:kinsoku/>
              <w:wordWrap/>
              <w:overflowPunct/>
              <w:topLinePunct w:val="0"/>
              <w:bidi w:val="0"/>
              <w:snapToGrid w:val="0"/>
              <w:spacing w:line="400" w:lineRule="exact"/>
              <w:textAlignment w:val="auto"/>
              <w:rPr>
                <w:rFonts w:ascii="宋体" w:hAnsi="宋体" w:cs="宋体"/>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eastAsia" w:ascii="宋体" w:hAnsi="宋体" w:eastAsia="宋体" w:cs="宋体"/>
                <w:color w:val="000000"/>
                <w:sz w:val="22"/>
                <w:szCs w:val="22"/>
                <w:lang w:eastAsia="zh-CN"/>
              </w:rPr>
            </w:pPr>
            <w:r>
              <w:rPr>
                <w:rFonts w:hint="eastAsia"/>
                <w:color w:val="000000"/>
                <w:sz w:val="22"/>
                <w:szCs w:val="22"/>
                <w:lang w:val="en-US" w:eastAsia="zh-CN"/>
              </w:rPr>
              <w:t>9</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szCs w:val="18"/>
              </w:rPr>
              <w:t>供货及安装期限</w:t>
            </w:r>
          </w:p>
        </w:tc>
        <w:tc>
          <w:tcPr>
            <w:tcW w:w="6090" w:type="dxa"/>
            <w:vAlign w:val="center"/>
          </w:tcPr>
          <w:p>
            <w:pPr>
              <w:pageBreakBefore w:val="0"/>
              <w:widowControl w:val="0"/>
              <w:kinsoku/>
              <w:wordWrap/>
              <w:overflowPunct/>
              <w:topLinePunct w:val="0"/>
              <w:autoSpaceDE w:val="0"/>
              <w:autoSpaceDN w:val="0"/>
              <w:bidi w:val="0"/>
              <w:adjustRightInd w:val="0"/>
              <w:snapToGrid w:val="0"/>
              <w:spacing w:line="400" w:lineRule="exact"/>
              <w:jc w:val="left"/>
              <w:textAlignment w:val="auto"/>
              <w:rPr>
                <w:rFonts w:hint="default" w:ascii="宋体" w:hAnsi="宋体" w:eastAsia="宋体" w:cs="宋体"/>
                <w:lang w:val="en-US" w:eastAsia="zh-CN"/>
              </w:rPr>
            </w:pPr>
            <w:r>
              <w:rPr>
                <w:rFonts w:hint="eastAsia" w:ascii="宋体" w:hAnsi="宋体"/>
                <w:sz w:val="24"/>
                <w:szCs w:val="18"/>
                <w:lang w:val="en-US" w:eastAsia="zh-CN"/>
              </w:rPr>
              <w:t>2022年4月20日</w:t>
            </w:r>
            <w:r>
              <w:rPr>
                <w:rFonts w:hint="eastAsia" w:ascii="宋体" w:hAnsi="宋体"/>
                <w:sz w:val="24"/>
                <w:szCs w:val="18"/>
              </w:rPr>
              <w:t>完成供货及安装调试。投标供应商也可根据自身情况报出合理的最短</w:t>
            </w:r>
            <w:r>
              <w:rPr>
                <w:rFonts w:hint="eastAsia" w:ascii="宋体" w:hAnsi="宋体"/>
                <w:sz w:val="24"/>
                <w:szCs w:val="18"/>
                <w:lang w:eastAsia="zh-CN"/>
              </w:rPr>
              <w:t>时间。</w:t>
            </w:r>
            <w:r>
              <w:rPr>
                <w:rFonts w:hint="eastAsia" w:ascii="黑体" w:hAnsi="黑体" w:eastAsia="黑体" w:cs="黑体"/>
                <w:b/>
                <w:bCs/>
                <w:sz w:val="24"/>
                <w:szCs w:val="18"/>
                <w:lang w:eastAsia="zh-CN"/>
              </w:rPr>
              <w:t>中标人要确保中标设备于</w:t>
            </w:r>
            <w:r>
              <w:rPr>
                <w:rFonts w:hint="eastAsia" w:ascii="黑体" w:hAnsi="黑体" w:eastAsia="黑体" w:cs="黑体"/>
                <w:b/>
                <w:bCs/>
                <w:sz w:val="24"/>
                <w:szCs w:val="18"/>
                <w:lang w:val="en-US" w:eastAsia="zh-CN"/>
              </w:rPr>
              <w:t>2022年4月20日前全部供货安装完成，若不能完成供货安装，履约保证金不予退还，合同中止。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10</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lang w:val="zh-CN"/>
              </w:rPr>
            </w:pPr>
            <w:r>
              <w:rPr>
                <w:rFonts w:hint="eastAsia" w:ascii="宋体" w:hAnsi="宋体" w:cs="宋体"/>
                <w:sz w:val="24"/>
                <w:lang w:val="zh-CN"/>
              </w:rPr>
              <w:t>免费质保期</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lang w:eastAsia="zh-CN"/>
              </w:rPr>
              <w:t>最少</w:t>
            </w:r>
            <w:r>
              <w:rPr>
                <w:rFonts w:hint="eastAsia" w:ascii="宋体" w:hAnsi="宋体" w:cs="宋体"/>
                <w:sz w:val="24"/>
                <w:lang w:val="en-US" w:eastAsia="zh-CN"/>
              </w:rPr>
              <w:t>1年，</w:t>
            </w:r>
            <w:r>
              <w:rPr>
                <w:rFonts w:hint="eastAsia" w:ascii="宋体" w:hAnsi="宋体" w:cs="宋体"/>
                <w:sz w:val="24"/>
              </w:rPr>
              <w:t>多于</w:t>
            </w:r>
            <w:r>
              <w:rPr>
                <w:rFonts w:hint="eastAsia" w:ascii="宋体" w:hAnsi="宋体" w:cs="宋体"/>
                <w:sz w:val="24"/>
                <w:lang w:val="en-US" w:eastAsia="zh-CN"/>
              </w:rPr>
              <w:t>1</w:t>
            </w:r>
            <w:r>
              <w:rPr>
                <w:rFonts w:hint="eastAsia" w:ascii="宋体" w:hAnsi="宋体" w:cs="宋体"/>
                <w:sz w:val="24"/>
              </w:rPr>
              <w:t>年的期限自报。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11</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bCs/>
                <w:sz w:val="24"/>
              </w:rPr>
              <w:t>答疑、澄清、变更或补充</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bCs/>
                <w:sz w:val="24"/>
              </w:rPr>
            </w:pPr>
            <w:r>
              <w:rPr>
                <w:rFonts w:hint="eastAsia" w:ascii="宋体" w:hAnsi="宋体" w:cs="宋体"/>
                <w:bCs/>
                <w:sz w:val="24"/>
              </w:rPr>
              <w:t>淮北市</w:t>
            </w:r>
            <w:r>
              <w:rPr>
                <w:rFonts w:hint="eastAsia" w:ascii="宋体" w:hAnsi="宋体" w:cs="宋体"/>
                <w:bCs/>
                <w:sz w:val="24"/>
                <w:lang w:eastAsia="zh-CN"/>
              </w:rPr>
              <w:t>第四人民医院</w:t>
            </w:r>
            <w:r>
              <w:rPr>
                <w:rFonts w:hint="eastAsia" w:ascii="宋体" w:hAnsi="宋体" w:cs="宋体"/>
                <w:bCs/>
                <w:sz w:val="24"/>
              </w:rPr>
              <w:t>对招标文件进行的答疑、澄清、变更或补充，将在网站上及时发布，该公告内容为招标文件的组成部分，对投标供应商具有同样约束力。投标供应商应主动上网查询。淮北市</w:t>
            </w:r>
            <w:r>
              <w:rPr>
                <w:rFonts w:hint="eastAsia" w:ascii="宋体" w:hAnsi="宋体" w:cs="宋体"/>
                <w:bCs/>
                <w:sz w:val="24"/>
                <w:lang w:eastAsia="zh-CN"/>
              </w:rPr>
              <w:t>第四人民医院</w:t>
            </w:r>
            <w:r>
              <w:rPr>
                <w:rFonts w:hint="eastAsia" w:ascii="宋体" w:hAnsi="宋体" w:cs="宋体"/>
                <w:bCs/>
                <w:sz w:val="24"/>
              </w:rPr>
              <w:t>不承担投标供应商未及时关注相关信息引发的相关责任。上述答疑、澄清、变更或补充在网站上发布。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12</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Cs/>
                <w:sz w:val="24"/>
              </w:rPr>
            </w:pPr>
            <w:r>
              <w:rPr>
                <w:rFonts w:hint="eastAsia" w:ascii="宋体" w:hAnsi="宋体" w:cs="宋体"/>
                <w:bCs/>
                <w:sz w:val="24"/>
              </w:rPr>
              <w:t>勘察现场</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bCs/>
                <w:sz w:val="24"/>
              </w:rPr>
            </w:pPr>
            <w:r>
              <w:rPr>
                <w:rFonts w:hint="eastAsia" w:ascii="宋体" w:hAnsi="宋体" w:cs="宋体"/>
                <w:b/>
                <w:bCs/>
                <w:sz w:val="24"/>
              </w:rPr>
              <w:sym w:font="Wingdings" w:char="F0FE"/>
            </w:r>
            <w:r>
              <w:rPr>
                <w:rFonts w:hint="eastAsia" w:ascii="宋体" w:hAnsi="宋体" w:cs="宋体"/>
                <w:bCs/>
                <w:sz w:val="24"/>
              </w:rPr>
              <w:t xml:space="preserve">自行勘察   </w:t>
            </w:r>
            <w:r>
              <w:rPr>
                <w:rFonts w:hint="eastAsia" w:ascii="宋体" w:hAnsi="宋体" w:cs="宋体"/>
                <w:sz w:val="24"/>
              </w:rPr>
              <w:t>□</w:t>
            </w:r>
            <w:r>
              <w:rPr>
                <w:rFonts w:hint="eastAsia" w:ascii="宋体" w:hAnsi="宋体" w:cs="宋体"/>
                <w:bCs/>
                <w:sz w:val="24"/>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13</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投标文件份数及要求</w:t>
            </w:r>
          </w:p>
        </w:tc>
        <w:tc>
          <w:tcPr>
            <w:tcW w:w="6090" w:type="dxa"/>
            <w:vAlign w:val="center"/>
          </w:tcPr>
          <w:p>
            <w:pPr>
              <w:pStyle w:val="44"/>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szCs w:val="24"/>
              </w:rPr>
              <w:t>投标文件：</w:t>
            </w:r>
            <w:r>
              <w:rPr>
                <w:rFonts w:hint="eastAsia" w:ascii="宋体" w:hAnsi="宋体" w:cs="宋体"/>
                <w:sz w:val="24"/>
                <w:szCs w:val="24"/>
                <w:lang w:eastAsia="zh-CN"/>
              </w:rPr>
              <w:t>纸质版</w:t>
            </w:r>
            <w:r>
              <w:rPr>
                <w:sz w:val="24"/>
              </w:rPr>
              <w:t>正本1份</w:t>
            </w:r>
            <w:r>
              <w:rPr>
                <w:rFonts w:hint="eastAsia"/>
                <w:sz w:val="24"/>
              </w:rPr>
              <w:t>，</w:t>
            </w:r>
            <w:r>
              <w:rPr>
                <w:sz w:val="24"/>
              </w:rPr>
              <w:t>副本</w:t>
            </w:r>
            <w:r>
              <w:rPr>
                <w:rFonts w:hint="eastAsia"/>
                <w:b/>
                <w:color w:val="auto"/>
                <w:sz w:val="24"/>
                <w:lang w:val="en-US" w:eastAsia="zh-CN"/>
              </w:rPr>
              <w:t>6</w:t>
            </w:r>
            <w:r>
              <w:rPr>
                <w:sz w:val="24"/>
              </w:rPr>
              <w:t>份，电子</w:t>
            </w:r>
            <w:r>
              <w:rPr>
                <w:rFonts w:hint="eastAsia"/>
                <w:sz w:val="24"/>
                <w:lang w:eastAsia="zh-CN"/>
              </w:rPr>
              <w:t>版</w:t>
            </w:r>
            <w:r>
              <w:rPr>
                <w:sz w:val="24"/>
              </w:rPr>
              <w:t>文件1份（U盘）</w:t>
            </w:r>
            <w:r>
              <w:rPr>
                <w:rFonts w:hint="eastAsia"/>
                <w:sz w:val="24"/>
                <w:lang w:eastAsia="zh-CN"/>
              </w:rPr>
              <w:t>，</w:t>
            </w:r>
            <w:r>
              <w:rPr>
                <w:rFonts w:hint="eastAsia"/>
                <w:sz w:val="24"/>
              </w:rPr>
              <w:t>密封提交</w:t>
            </w:r>
            <w:r>
              <w:rPr>
                <w:rFonts w:hint="eastAsia"/>
                <w:i/>
                <w:i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14</w:t>
            </w:r>
          </w:p>
        </w:tc>
        <w:tc>
          <w:tcPr>
            <w:tcW w:w="2389" w:type="dxa"/>
            <w:vAlign w:val="center"/>
          </w:tcPr>
          <w:p>
            <w:pPr>
              <w:pageBreakBefore w:val="0"/>
              <w:widowControl w:val="0"/>
              <w:kinsoku/>
              <w:wordWrap/>
              <w:overflowPunct/>
              <w:topLinePunct w:val="0"/>
              <w:bidi w:val="0"/>
              <w:snapToGrid w:val="0"/>
              <w:spacing w:line="400" w:lineRule="exact"/>
              <w:ind w:left="841" w:hanging="841"/>
              <w:jc w:val="center"/>
              <w:textAlignment w:val="auto"/>
              <w:rPr>
                <w:rFonts w:ascii="宋体" w:hAnsi="宋体" w:cs="宋体"/>
                <w:sz w:val="24"/>
              </w:rPr>
            </w:pPr>
            <w:r>
              <w:rPr>
                <w:rFonts w:hint="eastAsia" w:ascii="宋体" w:hAnsi="宋体" w:cs="宋体"/>
                <w:sz w:val="24"/>
              </w:rPr>
              <w:t>投标时间及地点</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lang w:val="zh-CN"/>
              </w:rPr>
            </w:pPr>
            <w:r>
              <w:rPr>
                <w:rFonts w:hint="eastAsia" w:ascii="宋体" w:hAnsi="宋体" w:cs="宋体"/>
                <w:sz w:val="24"/>
              </w:rPr>
              <w:t>投标截止时间：</w:t>
            </w:r>
            <w:r>
              <w:rPr>
                <w:rFonts w:hint="eastAsia" w:ascii="宋体" w:hAnsi="宋体" w:cs="宋体"/>
                <w:sz w:val="24"/>
                <w:lang w:val="en-US" w:eastAsia="zh-CN"/>
              </w:rPr>
              <w:t>2022年4月16日，</w:t>
            </w:r>
            <w:r>
              <w:rPr>
                <w:rFonts w:hint="eastAsia" w:ascii="宋体" w:hAnsi="宋体" w:cs="宋体"/>
                <w:sz w:val="24"/>
                <w:lang w:val="zh-CN"/>
              </w:rPr>
              <w:t>详见招标公告</w:t>
            </w:r>
          </w:p>
          <w:p>
            <w:pPr>
              <w:pageBreakBefore w:val="0"/>
              <w:widowControl w:val="0"/>
              <w:kinsoku/>
              <w:wordWrap/>
              <w:overflowPunct/>
              <w:topLinePunct w:val="0"/>
              <w:bidi w:val="0"/>
              <w:snapToGrid w:val="0"/>
              <w:spacing w:line="400" w:lineRule="exact"/>
              <w:textAlignment w:val="auto"/>
              <w:rPr>
                <w:rFonts w:ascii="宋体" w:hAnsi="宋体" w:cs="宋体"/>
                <w:bCs/>
                <w:sz w:val="24"/>
              </w:rPr>
            </w:pPr>
            <w:r>
              <w:rPr>
                <w:rFonts w:hint="eastAsia" w:ascii="宋体" w:hAnsi="宋体" w:cs="宋体"/>
                <w:sz w:val="24"/>
              </w:rPr>
              <w:t>投标文件递交地点：</w:t>
            </w:r>
            <w:r>
              <w:rPr>
                <w:rFonts w:hint="eastAsia" w:ascii="宋体" w:hAnsi="宋体" w:cs="宋体"/>
                <w:sz w:val="24"/>
                <w:lang w:val="zh-CN"/>
              </w:rPr>
              <w:t>同开标地点，详见招标公告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15</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Cs/>
                <w:sz w:val="24"/>
              </w:rPr>
            </w:pPr>
            <w:r>
              <w:rPr>
                <w:rFonts w:hint="eastAsia" w:ascii="宋体" w:hAnsi="宋体" w:cs="宋体"/>
                <w:sz w:val="24"/>
              </w:rPr>
              <w:t>开标时间及地点</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bCs/>
                <w:sz w:val="24"/>
                <w:u w:val="single"/>
              </w:rPr>
            </w:pPr>
            <w:r>
              <w:rPr>
                <w:rFonts w:hint="eastAsia" w:ascii="宋体" w:hAnsi="宋体" w:cs="宋体"/>
                <w:sz w:val="24"/>
              </w:rPr>
              <w:t>开标时间：</w:t>
            </w:r>
            <w:r>
              <w:rPr>
                <w:rFonts w:hint="eastAsia" w:ascii="宋体" w:hAnsi="宋体" w:cs="宋体"/>
                <w:sz w:val="24"/>
                <w:lang w:val="zh-CN"/>
              </w:rPr>
              <w:t>详见招标公告</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开标地点：</w:t>
            </w:r>
            <w:r>
              <w:rPr>
                <w:rFonts w:hint="eastAsia" w:ascii="宋体" w:hAnsi="宋体" w:cs="宋体"/>
                <w:sz w:val="24"/>
                <w:lang w:val="zh-CN"/>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16</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评标办法</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17</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bCs/>
                <w:sz w:val="24"/>
              </w:rPr>
            </w:pPr>
            <w:r>
              <w:rPr>
                <w:rFonts w:hint="eastAsia" w:ascii="宋体" w:hAnsi="宋体" w:cs="宋体"/>
                <w:bCs/>
                <w:sz w:val="24"/>
              </w:rPr>
              <w:t>履约保证金</w:t>
            </w:r>
          </w:p>
        </w:tc>
        <w:tc>
          <w:tcPr>
            <w:tcW w:w="6090" w:type="dxa"/>
            <w:vAlign w:val="center"/>
          </w:tcPr>
          <w:p>
            <w:pPr>
              <w:pageBreakBefore w:val="0"/>
              <w:widowControl w:val="0"/>
              <w:kinsoku/>
              <w:wordWrap/>
              <w:overflowPunct/>
              <w:topLinePunct w:val="0"/>
              <w:bidi w:val="0"/>
              <w:snapToGrid w:val="0"/>
              <w:spacing w:line="400" w:lineRule="exact"/>
              <w:textAlignment w:val="auto"/>
              <w:rPr>
                <w:rFonts w:hint="eastAsia" w:eastAsia="宋体"/>
                <w:sz w:val="24"/>
                <w:szCs w:val="24"/>
                <w:lang w:val="en-US" w:eastAsia="zh-CN"/>
              </w:rPr>
            </w:pPr>
            <w:r>
              <w:rPr>
                <w:rFonts w:hint="eastAsia"/>
                <w:sz w:val="24"/>
                <w:szCs w:val="24"/>
                <w:lang w:eastAsia="zh-CN"/>
              </w:rPr>
              <w:t>投标人报名投标时需交纳</w:t>
            </w:r>
            <w:r>
              <w:rPr>
                <w:rFonts w:hint="eastAsia"/>
                <w:sz w:val="24"/>
                <w:szCs w:val="24"/>
                <w:lang w:val="en-US" w:eastAsia="zh-CN"/>
              </w:rPr>
              <w:t>15万</w:t>
            </w:r>
            <w:r>
              <w:rPr>
                <w:rFonts w:hint="eastAsia"/>
                <w:sz w:val="24"/>
                <w:szCs w:val="24"/>
              </w:rPr>
              <w:t>履约保证金，</w:t>
            </w:r>
            <w:r>
              <w:rPr>
                <w:rFonts w:hint="eastAsia"/>
                <w:sz w:val="24"/>
                <w:szCs w:val="24"/>
                <w:lang w:eastAsia="zh-CN"/>
              </w:rPr>
              <w:t>开标前没有交纳</w:t>
            </w:r>
            <w:r>
              <w:rPr>
                <w:rFonts w:hint="eastAsia"/>
                <w:sz w:val="24"/>
                <w:szCs w:val="24"/>
              </w:rPr>
              <w:t>履约保证金</w:t>
            </w:r>
            <w:r>
              <w:rPr>
                <w:rFonts w:hint="eastAsia"/>
                <w:sz w:val="24"/>
                <w:szCs w:val="24"/>
                <w:lang w:eastAsia="zh-CN"/>
              </w:rPr>
              <w:t>的视为无效投标。中标人</w:t>
            </w:r>
            <w:r>
              <w:rPr>
                <w:rFonts w:hint="eastAsia"/>
                <w:sz w:val="24"/>
                <w:szCs w:val="24"/>
              </w:rPr>
              <w:t>履约保证金期限至项目验收合格后无息退还。</w:t>
            </w:r>
            <w:r>
              <w:rPr>
                <w:rFonts w:hint="eastAsia"/>
                <w:sz w:val="24"/>
                <w:szCs w:val="24"/>
                <w:lang w:eastAsia="zh-CN"/>
              </w:rPr>
              <w:t>非中标单位至中标结果公示结束后，无息退还</w:t>
            </w:r>
            <w:r>
              <w:rPr>
                <w:rFonts w:hint="eastAsia"/>
                <w:sz w:val="24"/>
                <w:szCs w:val="24"/>
              </w:rPr>
              <w:t>履约保证金</w:t>
            </w:r>
            <w:r>
              <w:rPr>
                <w:rFonts w:hint="eastAsia"/>
                <w:sz w:val="24"/>
                <w:szCs w:val="24"/>
                <w:lang w:eastAsia="zh-CN"/>
              </w:rPr>
              <w:t>。</w:t>
            </w:r>
          </w:p>
          <w:p>
            <w:pPr>
              <w:pageBreakBefore w:val="0"/>
              <w:widowControl w:val="0"/>
              <w:kinsoku/>
              <w:wordWrap/>
              <w:overflowPunct/>
              <w:topLinePunct w:val="0"/>
              <w:bidi w:val="0"/>
              <w:snapToGrid w:val="0"/>
              <w:spacing w:line="400" w:lineRule="exact"/>
              <w:textAlignment w:val="auto"/>
              <w:rPr>
                <w:rFonts w:hint="eastAsia"/>
                <w:sz w:val="24"/>
                <w:szCs w:val="24"/>
              </w:rPr>
            </w:pPr>
            <w:r>
              <w:rPr>
                <w:rFonts w:hint="eastAsia"/>
                <w:sz w:val="24"/>
                <w:szCs w:val="24"/>
              </w:rPr>
              <w:t>收受方式为：</w:t>
            </w:r>
            <w:r>
              <w:rPr>
                <w:rFonts w:hint="eastAsia"/>
                <w:sz w:val="24"/>
                <w:szCs w:val="24"/>
              </w:rPr>
              <w:sym w:font="Wingdings" w:char="F0FE"/>
            </w:r>
            <w:r>
              <w:rPr>
                <w:rFonts w:hint="eastAsia"/>
                <w:sz w:val="24"/>
                <w:szCs w:val="24"/>
              </w:rPr>
              <w:t>转账/电汇，收受人为</w:t>
            </w:r>
            <w:r>
              <w:rPr>
                <w:rFonts w:hint="eastAsia"/>
                <w:sz w:val="24"/>
                <w:szCs w:val="24"/>
              </w:rPr>
              <w:sym w:font="Wingdings" w:char="00FE"/>
            </w:r>
            <w:r>
              <w:rPr>
                <w:rFonts w:hint="eastAsia"/>
                <w:sz w:val="24"/>
                <w:szCs w:val="24"/>
              </w:rPr>
              <w:t>采购人</w:t>
            </w:r>
          </w:p>
          <w:p>
            <w:pPr>
              <w:pStyle w:val="22"/>
              <w:pageBreakBefore w:val="0"/>
              <w:widowControl w:val="0"/>
              <w:kinsoku/>
              <w:wordWrap/>
              <w:overflowPunct/>
              <w:topLinePunct w:val="0"/>
              <w:bidi w:val="0"/>
              <w:snapToGrid w:val="0"/>
              <w:spacing w:line="400" w:lineRule="exact"/>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保证金</w:t>
            </w:r>
            <w:r>
              <w:rPr>
                <w:rFonts w:hint="eastAsia" w:ascii="宋体" w:hAnsi="宋体" w:eastAsia="宋体" w:cs="宋体"/>
                <w:b/>
                <w:bCs/>
                <w:sz w:val="24"/>
                <w:szCs w:val="24"/>
                <w:lang w:eastAsia="zh-CN"/>
              </w:rPr>
              <w:t>交款：单位名称：</w:t>
            </w:r>
            <w:r>
              <w:rPr>
                <w:rFonts w:hint="eastAsia" w:ascii="宋体" w:hAnsi="宋体" w:cs="宋体"/>
                <w:b/>
                <w:bCs/>
                <w:sz w:val="24"/>
                <w:szCs w:val="24"/>
                <w:lang w:eastAsia="zh-CN"/>
              </w:rPr>
              <w:t>淮北市第四人民医院</w:t>
            </w:r>
            <w:r>
              <w:rPr>
                <w:rFonts w:hint="eastAsia" w:ascii="宋体" w:hAnsi="宋体" w:eastAsia="宋体" w:cs="宋体"/>
                <w:b/>
                <w:bCs/>
                <w:sz w:val="24"/>
                <w:szCs w:val="24"/>
                <w:lang w:val="en-US" w:eastAsia="zh-CN"/>
              </w:rPr>
              <w:t xml:space="preserve">               </w:t>
            </w:r>
          </w:p>
          <w:p>
            <w:pPr>
              <w:pageBreakBefore w:val="0"/>
              <w:widowControl w:val="0"/>
              <w:kinsoku/>
              <w:wordWrap/>
              <w:overflowPunct/>
              <w:topLinePunct w:val="0"/>
              <w:bidi w:val="0"/>
              <w:snapToGrid w:val="0"/>
              <w:spacing w:line="400" w:lineRule="exact"/>
              <w:textAlignment w:val="auto"/>
              <w:rPr>
                <w:rFonts w:hint="default"/>
                <w:lang w:val="en-US" w:eastAsia="zh-CN"/>
              </w:rPr>
            </w:pPr>
            <w:r>
              <w:rPr>
                <w:rFonts w:hint="eastAsia" w:ascii="宋体" w:hAnsi="宋体" w:eastAsia="宋体" w:cs="宋体"/>
                <w:b/>
                <w:bCs/>
                <w:sz w:val="24"/>
                <w:szCs w:val="24"/>
                <w:lang w:eastAsia="zh-CN"/>
              </w:rPr>
              <w:t>帐号：</w:t>
            </w:r>
            <w:r>
              <w:rPr>
                <w:rFonts w:hint="default" w:ascii="Times New Roman" w:hAnsi="Times New Roman" w:cs="Times New Roman"/>
                <w:b/>
                <w:bCs/>
                <w:sz w:val="28"/>
                <w:szCs w:val="28"/>
              </w:rPr>
              <w:t>1305017409200010751</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开户行：工商银行淮北</w:t>
            </w:r>
            <w:r>
              <w:rPr>
                <w:rFonts w:hint="eastAsia" w:ascii="宋体" w:hAnsi="宋体" w:cs="宋体"/>
                <w:b/>
                <w:bCs/>
                <w:sz w:val="24"/>
                <w:szCs w:val="24"/>
                <w:lang w:val="en-US" w:eastAsia="zh-CN"/>
              </w:rPr>
              <w:t>临童</w:t>
            </w:r>
            <w:r>
              <w:rPr>
                <w:rFonts w:hint="eastAsia" w:ascii="宋体" w:hAnsi="宋体" w:eastAsia="宋体" w:cs="宋体"/>
                <w:b/>
                <w:bCs/>
                <w:sz w:val="24"/>
                <w:szCs w:val="24"/>
                <w:lang w:val="en-US" w:eastAsia="zh-CN"/>
              </w:rPr>
              <w:t>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18</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投标样品</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b/>
                <w:sz w:val="24"/>
              </w:rPr>
              <w:t>□</w:t>
            </w:r>
            <w:r>
              <w:rPr>
                <w:rFonts w:hint="eastAsia" w:ascii="宋体" w:hAnsi="宋体" w:cs="宋体"/>
                <w:sz w:val="24"/>
              </w:rPr>
              <w:t xml:space="preserve">需要   </w:t>
            </w:r>
            <w:r>
              <w:rPr>
                <w:rFonts w:hint="eastAsia" w:ascii="宋体" w:hAnsi="宋体" w:cs="宋体"/>
                <w:b/>
                <w:bCs/>
                <w:sz w:val="24"/>
              </w:rPr>
              <w:sym w:font="Wingdings" w:char="F0FE"/>
            </w:r>
            <w:r>
              <w:rPr>
                <w:rFonts w:hint="eastAsia" w:ascii="宋体" w:hAnsi="宋体" w:cs="宋体"/>
                <w:sz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19</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采购人联系方式</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20</w:t>
            </w:r>
          </w:p>
        </w:tc>
        <w:tc>
          <w:tcPr>
            <w:tcW w:w="2389" w:type="dxa"/>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本地化服务</w:t>
            </w:r>
          </w:p>
        </w:tc>
        <w:tc>
          <w:tcPr>
            <w:tcW w:w="6090" w:type="dxa"/>
            <w:vAlign w:val="center"/>
          </w:tcPr>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本项目是否要求本地化服务能力：</w:t>
            </w:r>
            <w:r>
              <w:rPr>
                <w:rFonts w:hint="eastAsia" w:ascii="宋体" w:hAnsi="宋体" w:cs="宋体"/>
                <w:b/>
                <w:sz w:val="24"/>
              </w:rPr>
              <w:t xml:space="preserve">□要求  </w:t>
            </w:r>
            <w:r>
              <w:rPr>
                <w:rFonts w:hint="eastAsia" w:ascii="宋体" w:hAnsi="宋体" w:cs="宋体"/>
                <w:b/>
                <w:sz w:val="24"/>
              </w:rPr>
              <w:sym w:font="Wingdings" w:char="F0FE"/>
            </w:r>
            <w:r>
              <w:rPr>
                <w:rFonts w:hint="eastAsia" w:ascii="宋体" w:hAnsi="宋体" w:cs="宋体"/>
                <w:b/>
                <w:sz w:val="24"/>
              </w:rPr>
              <w:t>不要求</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本地化服务的能力是指具有以下条件之一：</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1）在本地具有固定的办公场所及人员；</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2）在本地具有固定的合作伙伴；</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3）在本地注册成立的；</w:t>
            </w:r>
          </w:p>
          <w:p>
            <w:pPr>
              <w:pageBreakBefore w:val="0"/>
              <w:widowControl w:val="0"/>
              <w:kinsoku/>
              <w:wordWrap/>
              <w:overflowPunct/>
              <w:topLinePunct w:val="0"/>
              <w:bidi w:val="0"/>
              <w:snapToGrid w:val="0"/>
              <w:spacing w:line="400" w:lineRule="exact"/>
              <w:textAlignment w:val="auto"/>
              <w:rPr>
                <w:rFonts w:ascii="宋体" w:hAnsi="宋体" w:cs="宋体"/>
                <w:sz w:val="24"/>
              </w:rPr>
            </w:pPr>
            <w:r>
              <w:rPr>
                <w:rFonts w:hint="eastAsia" w:ascii="宋体" w:hAnsi="宋体" w:cs="宋体"/>
                <w:sz w:val="24"/>
              </w:rPr>
              <w:t>4）承诺中标即设立本地化服务机构。</w:t>
            </w:r>
          </w:p>
          <w:p>
            <w:pPr>
              <w:pageBreakBefore w:val="0"/>
              <w:widowControl w:val="0"/>
              <w:kinsoku/>
              <w:wordWrap/>
              <w:overflowPunct/>
              <w:topLinePunct w:val="0"/>
              <w:bidi w:val="0"/>
              <w:snapToGrid w:val="0"/>
              <w:spacing w:line="400" w:lineRule="exact"/>
              <w:textAlignment w:val="auto"/>
              <w:rPr>
                <w:rFonts w:ascii="宋体" w:hAnsi="宋体" w:cs="宋体"/>
                <w:b/>
                <w:sz w:val="24"/>
              </w:rPr>
            </w:pPr>
            <w:r>
              <w:rPr>
                <w:rFonts w:hint="eastAsia" w:ascii="宋体" w:hAnsi="宋体" w:cs="宋体"/>
                <w:sz w:val="24"/>
              </w:rPr>
              <w:t>备注：“本地”系指：淮北市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line="400" w:lineRule="exact"/>
              <w:jc w:val="right"/>
              <w:textAlignment w:val="auto"/>
              <w:rPr>
                <w:rFonts w:hint="default" w:ascii="宋体" w:hAnsi="宋体" w:eastAsia="宋体" w:cs="宋体"/>
                <w:color w:val="000000"/>
                <w:sz w:val="22"/>
                <w:szCs w:val="22"/>
                <w:lang w:val="en-US" w:eastAsia="zh-CN"/>
              </w:rPr>
            </w:pPr>
            <w:r>
              <w:rPr>
                <w:rFonts w:hint="eastAsia"/>
                <w:color w:val="000000"/>
                <w:sz w:val="22"/>
                <w:szCs w:val="22"/>
                <w:lang w:val="en-US" w:eastAsia="zh-CN"/>
              </w:rPr>
              <w:t>21</w:t>
            </w:r>
          </w:p>
        </w:tc>
        <w:tc>
          <w:tcPr>
            <w:tcW w:w="238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napToGrid w:val="0"/>
              <w:spacing w:line="400" w:lineRule="exact"/>
              <w:jc w:val="center"/>
              <w:textAlignment w:val="auto"/>
              <w:rPr>
                <w:rFonts w:ascii="宋体" w:hAnsi="宋体" w:cs="宋体"/>
                <w:sz w:val="24"/>
              </w:rPr>
            </w:pPr>
            <w:r>
              <w:rPr>
                <w:rFonts w:hint="eastAsia" w:ascii="宋体" w:hAnsi="宋体" w:cs="宋体"/>
                <w:sz w:val="24"/>
              </w:rPr>
              <w:t>备注</w:t>
            </w:r>
          </w:p>
        </w:tc>
        <w:tc>
          <w:tcPr>
            <w:tcW w:w="6090" w:type="dxa"/>
            <w:tcBorders>
              <w:top w:val="single" w:color="auto" w:sz="4" w:space="0"/>
              <w:left w:val="single" w:color="auto" w:sz="4" w:space="0"/>
              <w:bottom w:val="single" w:color="auto" w:sz="4" w:space="0"/>
              <w:right w:val="single" w:color="auto" w:sz="4" w:space="0"/>
            </w:tcBorders>
            <w:vAlign w:val="center"/>
          </w:tcPr>
          <w:p>
            <w:pPr>
              <w:pStyle w:val="35"/>
              <w:pageBreakBefore w:val="0"/>
              <w:widowControl w:val="0"/>
              <w:kinsoku/>
              <w:wordWrap/>
              <w:overflowPunct/>
              <w:topLinePunct w:val="0"/>
              <w:bidi w:val="0"/>
              <w:snapToGrid w:val="0"/>
              <w:spacing w:line="400" w:lineRule="exact"/>
              <w:textAlignment w:val="auto"/>
              <w:rPr>
                <w:rFonts w:ascii="宋体" w:hAnsi="宋体" w:cs="宋体"/>
                <w:b/>
              </w:rPr>
            </w:pPr>
            <w:r>
              <w:rPr>
                <w:rFonts w:hint="eastAsia" w:ascii="宋体" w:hAnsi="宋体" w:cs="宋体"/>
                <w:b/>
              </w:rPr>
              <w:t>特别提醒：供应商应当诚信守法、公平竞争。如有以提供虚假材料（包括但不限于虚假技术参数响应、虚假业绩、虚假证书、虚假检测报告等）、串通投标、隐瞒失信信息等谋取中标的行为，或提供以次充好产品的，一经发现，将报相关部门依法查处。</w:t>
            </w:r>
          </w:p>
        </w:tc>
      </w:tr>
    </w:tbl>
    <w:p>
      <w:pPr>
        <w:pStyle w:val="38"/>
        <w:pageBreakBefore w:val="0"/>
        <w:widowControl w:val="0"/>
        <w:kinsoku/>
        <w:wordWrap/>
        <w:overflowPunct/>
        <w:topLinePunct w:val="0"/>
        <w:bidi w:val="0"/>
        <w:snapToGrid w:val="0"/>
        <w:spacing w:line="400" w:lineRule="exact"/>
        <w:textAlignment w:val="auto"/>
        <w:rPr>
          <w:rFonts w:hint="default" w:ascii="Times New Roman" w:hAnsi="Times New Roman" w:eastAsia="仿宋_GB2312" w:cs="Times New Roman"/>
          <w:sz w:val="32"/>
          <w:szCs w:val="32"/>
        </w:rPr>
      </w:pPr>
    </w:p>
    <w:p>
      <w:pPr>
        <w:pStyle w:val="15"/>
        <w:pageBreakBefore w:val="0"/>
        <w:tabs>
          <w:tab w:val="left" w:pos="2570"/>
          <w:tab w:val="center" w:pos="4214"/>
        </w:tabs>
        <w:kinsoku/>
        <w:wordWrap/>
        <w:overflowPunct/>
        <w:topLinePunct w:val="0"/>
        <w:bidi w:val="0"/>
        <w:snapToGrid w:val="0"/>
        <w:spacing w:line="560" w:lineRule="exact"/>
        <w:jc w:val="center"/>
        <w:textAlignment w:val="auto"/>
        <w:rPr>
          <w:rFonts w:hint="eastAsia" w:ascii="仿宋_GB2312" w:hAnsi="仿宋_GB2312" w:eastAsia="仿宋_GB2312" w:cs="仿宋_GB2312"/>
          <w:kern w:val="0"/>
          <w:sz w:val="32"/>
          <w:szCs w:val="32"/>
        </w:rPr>
      </w:pPr>
      <w:bookmarkStart w:id="16" w:name="_Toc12372850"/>
      <w:bookmarkStart w:id="17" w:name="_Toc509743731"/>
      <w:bookmarkStart w:id="18" w:name="_Toc509745130"/>
      <w:r>
        <w:rPr>
          <w:rFonts w:hint="eastAsia" w:ascii="仿宋_GB2312" w:hAnsi="仿宋_GB2312" w:eastAsia="仿宋_GB2312" w:cs="仿宋_GB2312"/>
          <w:kern w:val="0"/>
          <w:sz w:val="32"/>
          <w:szCs w:val="32"/>
        </w:rPr>
        <w:t>第二部分  采购需求</w:t>
      </w:r>
      <w:bookmarkEnd w:id="16"/>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sz w:val="32"/>
          <w:szCs w:val="32"/>
          <w:u w:val="single"/>
        </w:rPr>
      </w:pPr>
      <w:bookmarkStart w:id="19" w:name="_Hlt509716920"/>
      <w:bookmarkEnd w:id="19"/>
      <w:r>
        <w:rPr>
          <w:rFonts w:hint="eastAsia" w:ascii="仿宋_GB2312" w:hAnsi="仿宋_GB2312" w:eastAsia="仿宋_GB2312" w:cs="仿宋_GB2312"/>
          <w:sz w:val="32"/>
          <w:szCs w:val="32"/>
        </w:rPr>
        <w:t>1、本采购需求中提出的技术方案仅为参考，如无明确限制，投标供应商可以进行优化，提供满足采购人实际需要的更优（或者性能实质上不低于的）技术方案或者设备配置，且此方案或配置须经评标委员会评审认可；</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为有助于投标供应商选择投标产品，若项目需求中提供了推荐品牌（或型号）、参考品牌（或型号）等，这些品牌（或型号）仅供参考，并无限制性。投标供应商可以选择性能不低于推荐（或参考）的品牌（或型号）的其他品牌产品，但投标时应当提供有关技术证明资料，未提供的可能导致投标无效；</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供应商应当在投标文件中列出完成本项目并通过验收所需的所有各项服务等明细表及全部费用。中标供应商必须确保整体通过采购人及有关主管部门验收,所发生的验收费用由中标供应商承担；投标供应商应自行勘</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项目现场，如投标供应商因未及时踏勘现场而导致的报价缺项漏项废标</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中标后无法完工，投标供应商自行承担一切后果；</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Times New Roman" w:hAnsi="Times New Roman" w:eastAsia="仿宋_GB2312" w:cs="Times New Roman"/>
          <w:sz w:val="32"/>
          <w:szCs w:val="32"/>
          <w:lang w:val="en-US" w:eastAsia="zh-CN"/>
        </w:rPr>
        <w:t>在</w:t>
      </w:r>
      <w:r>
        <w:rPr>
          <w:rFonts w:hint="eastAsia" w:ascii="Times New Roman" w:hAnsi="Times New Roman" w:eastAsia="仿宋_GB2312" w:cs="Times New Roman"/>
          <w:sz w:val="32"/>
          <w:szCs w:val="32"/>
          <w:lang w:val="en-US" w:eastAsia="zh-CN"/>
        </w:rPr>
        <w:t>保障核酸采集、检测、报告日常工作</w:t>
      </w:r>
      <w:r>
        <w:rPr>
          <w:rFonts w:hint="default" w:ascii="Times New Roman" w:hAnsi="Times New Roman" w:eastAsia="仿宋_GB2312" w:cs="Times New Roman"/>
          <w:sz w:val="32"/>
          <w:szCs w:val="32"/>
          <w:lang w:val="en-US" w:eastAsia="zh-CN"/>
        </w:rPr>
        <w:t>的情况下，</w:t>
      </w:r>
      <w:r>
        <w:rPr>
          <w:rFonts w:hint="eastAsia" w:eastAsia="仿宋_GB2312" w:cs="Times New Roman"/>
          <w:sz w:val="32"/>
          <w:szCs w:val="32"/>
          <w:lang w:val="en-US" w:eastAsia="zh-CN"/>
        </w:rPr>
        <w:t>允许</w:t>
      </w:r>
      <w:r>
        <w:rPr>
          <w:rFonts w:hint="default" w:ascii="Times New Roman" w:hAnsi="Times New Roman" w:eastAsia="仿宋_GB2312" w:cs="Times New Roman"/>
          <w:sz w:val="32"/>
          <w:szCs w:val="32"/>
          <w:lang w:val="en-US" w:eastAsia="zh-CN"/>
        </w:rPr>
        <w:t>根据自身设备安装条件对</w:t>
      </w:r>
      <w:r>
        <w:rPr>
          <w:rFonts w:hint="eastAsia" w:ascii="Times New Roman" w:hAnsi="Times New Roman" w:eastAsia="仿宋_GB2312" w:cs="Times New Roman"/>
          <w:sz w:val="32"/>
          <w:szCs w:val="32"/>
          <w:lang w:val="en-US" w:eastAsia="zh-CN"/>
        </w:rPr>
        <w:t>实验室</w:t>
      </w:r>
      <w:r>
        <w:rPr>
          <w:rFonts w:hint="default" w:ascii="Times New Roman" w:hAnsi="Times New Roman" w:eastAsia="仿宋_GB2312" w:cs="Times New Roman"/>
          <w:sz w:val="32"/>
          <w:szCs w:val="32"/>
          <w:lang w:val="en-US" w:eastAsia="zh-CN"/>
        </w:rPr>
        <w:t>环境进行</w:t>
      </w:r>
      <w:r>
        <w:rPr>
          <w:rFonts w:hint="eastAsia" w:eastAsia="仿宋_GB2312" w:cs="Times New Roman"/>
          <w:sz w:val="32"/>
          <w:szCs w:val="32"/>
          <w:lang w:val="en-US" w:eastAsia="zh-CN"/>
        </w:rPr>
        <w:t>局部</w:t>
      </w:r>
      <w:r>
        <w:rPr>
          <w:rFonts w:hint="default" w:ascii="Times New Roman" w:hAnsi="Times New Roman" w:eastAsia="仿宋_GB2312" w:cs="Times New Roman"/>
          <w:sz w:val="32"/>
          <w:szCs w:val="32"/>
          <w:lang w:val="en-US" w:eastAsia="zh-CN"/>
        </w:rPr>
        <w:t>改建</w:t>
      </w:r>
      <w:r>
        <w:rPr>
          <w:rFonts w:hint="eastAsia" w:ascii="Times New Roman" w:hAnsi="Times New Roman" w:eastAsia="仿宋_GB2312" w:cs="Times New Roman"/>
          <w:sz w:val="32"/>
          <w:szCs w:val="32"/>
          <w:lang w:val="en-US" w:eastAsia="zh-CN"/>
        </w:rPr>
        <w:t>，并符合国家、省、市相关部门对</w:t>
      </w:r>
      <w:r>
        <w:rPr>
          <w:rFonts w:hint="eastAsia" w:eastAsia="仿宋_GB2312" w:cs="Times New Roman"/>
          <w:sz w:val="32"/>
          <w:szCs w:val="32"/>
          <w:lang w:val="en-US" w:eastAsia="zh-CN"/>
        </w:rPr>
        <w:t>PCR实验室及其</w:t>
      </w:r>
      <w:r>
        <w:rPr>
          <w:rFonts w:hint="eastAsia" w:ascii="Times New Roman" w:hAnsi="Times New Roman" w:eastAsia="仿宋_GB2312" w:cs="Times New Roman"/>
          <w:sz w:val="32"/>
          <w:szCs w:val="32"/>
          <w:lang w:val="en-US" w:eastAsia="zh-CN"/>
        </w:rPr>
        <w:t>新风系统、制冷、空调</w:t>
      </w:r>
      <w:r>
        <w:rPr>
          <w:rFonts w:hint="eastAsia" w:eastAsia="仿宋_GB2312" w:cs="Times New Roman"/>
          <w:sz w:val="32"/>
          <w:szCs w:val="32"/>
          <w:lang w:val="en-US" w:eastAsia="zh-CN"/>
        </w:rPr>
        <w:t>等设备</w:t>
      </w:r>
      <w:r>
        <w:rPr>
          <w:rFonts w:hint="eastAsia" w:ascii="Times New Roman" w:hAnsi="Times New Roman" w:eastAsia="仿宋_GB2312" w:cs="Times New Roman"/>
          <w:sz w:val="32"/>
          <w:szCs w:val="32"/>
          <w:lang w:val="en-US" w:eastAsia="zh-CN"/>
        </w:rPr>
        <w:t>的</w:t>
      </w:r>
      <w:r>
        <w:rPr>
          <w:rFonts w:hint="eastAsia" w:eastAsia="仿宋_GB2312" w:cs="Times New Roman"/>
          <w:sz w:val="32"/>
          <w:szCs w:val="32"/>
          <w:lang w:val="en-US" w:eastAsia="zh-CN"/>
        </w:rPr>
        <w:t>规范</w:t>
      </w:r>
      <w:r>
        <w:rPr>
          <w:rFonts w:hint="eastAsia" w:ascii="Times New Roman" w:hAnsi="Times New Roman" w:eastAsia="仿宋_GB2312" w:cs="Times New Roman"/>
          <w:sz w:val="32"/>
          <w:szCs w:val="32"/>
          <w:lang w:val="en-US" w:eastAsia="zh-CN"/>
        </w:rPr>
        <w:t>要求</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出具可行改建方案并保证通过PCR实验室复核验收</w:t>
      </w:r>
      <w:r>
        <w:rPr>
          <w:rFonts w:hint="eastAsia" w:eastAsia="仿宋_GB2312" w:cs="Times New Roman"/>
          <w:sz w:val="32"/>
          <w:szCs w:val="32"/>
          <w:lang w:val="en-US" w:eastAsia="zh-CN"/>
        </w:rPr>
        <w:t>；</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关于规范政府采购进口产品有关工作的通知》及政府采购管理部门的相关规定，下列采购需求中如涉及进口产品则已履行相关论证手续，经核准采购进口设备，但不限制满足招标文件要求的国内产品参与竞争；</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、在采购活动开始前没有获准采购进口产品而开展采购活动的，视同为拒绝采购进口产品；</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、下列采购需求中：如果要求提供产品相关证明材料，投标供应商须在投标文件中提供上述资料；</w:t>
      </w:r>
    </w:p>
    <w:p>
      <w:pPr>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、下列采购需求中：</w:t>
      </w:r>
      <w:r>
        <w:rPr>
          <w:rFonts w:hint="eastAsia" w:ascii="仿宋_GB2312" w:hAnsi="仿宋_GB2312" w:eastAsia="仿宋_GB2312" w:cs="仿宋_GB2312"/>
          <w:b/>
          <w:bCs/>
          <w:sz w:val="32"/>
          <w:szCs w:val="32"/>
          <w:lang w:eastAsia="zh-CN"/>
        </w:rPr>
        <w:t>所有标注</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项的参数需提供相关证明材料，如产品说明书（或技术白皮书）、检测检验报告、彩页等。</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、验收标准：应当按照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idu.com/s?wd=%E6%94%BF%E5%BA%9C%E9%87%87%E8%B4%AD%E5%90%88%E5%90%8C&amp;tn=44039180_cpr&amp;fenlei=mv6quAkxTZn0IZRqIHckPjm4nH00T1Y3nvR3mWR4mW-WuWbduW9B0ZwV5Hcvrjm3rH6sPfKWUMw85HfYnjn4nH6sgvPsT6KdThsqpZwYTjCEQLGCpyw9Uz4Bmy-bIi4WUvYETgN-TLwGUv3EnWfznHTkPHmzn1fdnj0Ln1cY"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政府采购合同</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规定的技术、服务、安全标准组织对供应商履约情况进行验收</w:t>
      </w:r>
      <w:r>
        <w:rPr>
          <w:rFonts w:hint="eastAsia" w:ascii="仿宋_GB2312" w:hAnsi="仿宋_GB2312" w:eastAsia="仿宋_GB2312" w:cs="仿宋_GB2312"/>
          <w:sz w:val="32"/>
          <w:szCs w:val="32"/>
          <w:lang w:eastAsia="zh-CN"/>
        </w:rPr>
        <w:t>；</w:t>
      </w:r>
    </w:p>
    <w:p>
      <w:pPr>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、如对本招标文件有任何疑问或澄清要求，请按本招标文件“投标供应商须知前附表”中约定方式联系，或接受答疑截止时间前联系采购人，否则视同理解和接受，</w:t>
      </w:r>
      <w:r>
        <w:rPr>
          <w:rFonts w:hint="eastAsia" w:ascii="仿宋_GB2312" w:hAnsi="仿宋_GB2312" w:eastAsia="仿宋_GB2312" w:cs="仿宋_GB2312"/>
          <w:b w:val="0"/>
          <w:bCs w:val="0"/>
          <w:sz w:val="32"/>
          <w:szCs w:val="32"/>
        </w:rPr>
        <w:t>开标后不再受理对招标文件条款提出的质疑。</w:t>
      </w:r>
    </w:p>
    <w:p>
      <w:pPr>
        <w:pStyle w:val="22"/>
        <w:pageBreakBefore w:val="0"/>
        <w:kinsoku/>
        <w:wordWrap/>
        <w:overflowPunct/>
        <w:topLinePunct w:val="0"/>
        <w:bidi w:val="0"/>
        <w:snapToGrid w:val="0"/>
        <w:spacing w:line="560" w:lineRule="exact"/>
        <w:ind w:firstLine="56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11、投标人需对每项设备单独制订相关文件。</w:t>
      </w:r>
    </w:p>
    <w:p>
      <w:pPr>
        <w:pageBreakBefore w:val="0"/>
        <w:kinsoku/>
        <w:wordWrap/>
        <w:overflowPunct/>
        <w:topLinePunct w:val="0"/>
        <w:bidi w:val="0"/>
        <w:snapToGrid w:val="0"/>
        <w:spacing w:line="560" w:lineRule="exact"/>
        <w:ind w:firstLine="560"/>
        <w:textAlignment w:val="auto"/>
        <w:rPr>
          <w:rFonts w:hint="default"/>
          <w:lang w:val="en-US" w:eastAsia="zh-CN"/>
        </w:rPr>
      </w:pPr>
    </w:p>
    <w:p>
      <w:pPr>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采购需求如下：</w:t>
      </w:r>
    </w:p>
    <w:p>
      <w:pPr>
        <w:pageBreakBefore w:val="0"/>
        <w:kinsoku/>
        <w:wordWrap/>
        <w:overflowPunct/>
        <w:topLinePunct w:val="0"/>
        <w:bidi w:val="0"/>
        <w:adjustRightInd w:val="0"/>
        <w:snapToGrid w:val="0"/>
        <w:spacing w:line="560" w:lineRule="exact"/>
        <w:ind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color w:val="000000"/>
          <w:sz w:val="32"/>
          <w:szCs w:val="32"/>
          <w:lang w:val="en-US" w:eastAsia="zh-CN"/>
        </w:rPr>
        <w:t>核酸检测能力提升</w:t>
      </w:r>
      <w:r>
        <w:rPr>
          <w:rFonts w:hint="eastAsia" w:ascii="仿宋_GB2312" w:hAnsi="仿宋_GB2312" w:eastAsia="仿宋_GB2312" w:cs="仿宋_GB2312"/>
          <w:b/>
          <w:color w:val="000000"/>
          <w:sz w:val="32"/>
          <w:szCs w:val="32"/>
        </w:rPr>
        <w:t>采购货物清单</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sz w:val="32"/>
          <w:szCs w:val="32"/>
          <w:lang w:val="en-US" w:eastAsia="zh-CN"/>
        </w:rPr>
        <w:t>投标人投标报价超过预算价其投标无效。</w:t>
      </w:r>
    </w:p>
    <w:tbl>
      <w:tblPr>
        <w:tblStyle w:val="16"/>
        <w:tblW w:w="825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947"/>
        <w:gridCol w:w="1823"/>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cs="宋体" w:asciiTheme="minorEastAsia" w:hAnsiTheme="minorEastAsia" w:eastAsiaTheme="minorEastAsia"/>
                <w:color w:val="000000"/>
                <w:kern w:val="0"/>
                <w:sz w:val="24"/>
              </w:rPr>
            </w:pPr>
            <w:r>
              <w:rPr>
                <w:rFonts w:hint="default" w:ascii="Times New Roman" w:hAnsi="Times New Roman" w:eastAsia="仿宋_GB2312" w:cs="Times New Roman"/>
                <w:sz w:val="32"/>
                <w:szCs w:val="32"/>
                <w:lang w:val="en-US" w:eastAsia="zh-CN"/>
              </w:rPr>
              <w:t>序号</w:t>
            </w:r>
          </w:p>
        </w:tc>
        <w:tc>
          <w:tcPr>
            <w:tcW w:w="2947"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cs="宋体" w:asciiTheme="minorEastAsia" w:hAnsiTheme="minorEastAsia" w:eastAsiaTheme="minorEastAsia"/>
                <w:color w:val="000000"/>
                <w:kern w:val="0"/>
                <w:sz w:val="24"/>
              </w:rPr>
            </w:pPr>
            <w:r>
              <w:rPr>
                <w:rFonts w:hint="default" w:ascii="Times New Roman" w:hAnsi="Times New Roman" w:eastAsia="仿宋_GB2312" w:cs="Times New Roman"/>
                <w:sz w:val="32"/>
                <w:szCs w:val="32"/>
                <w:lang w:val="en-US" w:eastAsia="zh-CN"/>
              </w:rPr>
              <w:t>货物名称</w:t>
            </w:r>
          </w:p>
        </w:tc>
        <w:tc>
          <w:tcPr>
            <w:tcW w:w="1823"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cs="宋体" w:asciiTheme="minorEastAsia" w:hAnsiTheme="minorEastAsia" w:eastAsiaTheme="minorEastAsia"/>
                <w:color w:val="000000"/>
                <w:kern w:val="0"/>
                <w:sz w:val="24"/>
              </w:rPr>
            </w:pPr>
            <w:r>
              <w:rPr>
                <w:rFonts w:hint="default" w:ascii="Times New Roman" w:hAnsi="Times New Roman" w:eastAsia="仿宋_GB2312" w:cs="Times New Roman"/>
                <w:sz w:val="32"/>
                <w:szCs w:val="32"/>
                <w:lang w:val="en-US" w:eastAsia="zh-CN"/>
              </w:rPr>
              <w:t>数量（台）</w:t>
            </w:r>
          </w:p>
        </w:tc>
        <w:tc>
          <w:tcPr>
            <w:tcW w:w="1596" w:type="dxa"/>
            <w:vAlign w:val="center"/>
          </w:tcPr>
          <w:p>
            <w:pPr>
              <w:pageBreakBefore w:val="0"/>
              <w:widowControl/>
              <w:kinsoku/>
              <w:wordWrap/>
              <w:overflowPunct/>
              <w:topLinePunct w:val="0"/>
              <w:bidi w:val="0"/>
              <w:snapToGrid w:val="0"/>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1</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核酸提取纯化仪</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4</w:t>
            </w:r>
          </w:p>
        </w:tc>
        <w:tc>
          <w:tcPr>
            <w:tcW w:w="1596" w:type="dxa"/>
            <w:vMerge w:val="restart"/>
            <w:vAlign w:val="center"/>
          </w:tcPr>
          <w:p>
            <w:pPr>
              <w:pageBreakBefore w:val="0"/>
              <w:widowControl/>
              <w:kinsoku/>
              <w:wordWrap/>
              <w:overflowPunct/>
              <w:topLinePunct w:val="0"/>
              <w:bidi w:val="0"/>
              <w:snapToGrid w:val="0"/>
              <w:spacing w:line="560" w:lineRule="exact"/>
              <w:jc w:val="center"/>
              <w:textAlignment w:val="auto"/>
              <w:rPr>
                <w:rFonts w:hint="default" w:cs="宋体" w:asciiTheme="minorEastAsia" w:hAnsiTheme="minorEastAsia" w:eastAsiaTheme="minorEastAsia"/>
                <w:color w:val="333333"/>
                <w:kern w:val="0"/>
                <w:sz w:val="24"/>
                <w:lang w:val="en-US" w:eastAsia="zh-CN"/>
              </w:rPr>
            </w:pPr>
            <w:r>
              <w:rPr>
                <w:rFonts w:hint="default" w:ascii="Times New Roman" w:hAnsi="Times New Roman" w:eastAsia="仿宋_GB2312" w:cs="Times New Roman"/>
                <w:color w:val="333333"/>
                <w:kern w:val="0"/>
                <w:sz w:val="32"/>
                <w:szCs w:val="32"/>
                <w:lang w:val="en-US" w:eastAsia="zh-CN"/>
              </w:rPr>
              <w:t>15</w:t>
            </w:r>
            <w:r>
              <w:rPr>
                <w:rFonts w:hint="eastAsia" w:ascii="Times New Roman" w:hAnsi="Times New Roman" w:eastAsia="仿宋_GB2312" w:cs="Times New Roman"/>
                <w:color w:val="333333"/>
                <w:kern w:val="0"/>
                <w:sz w:val="32"/>
                <w:szCs w:val="32"/>
                <w:lang w:val="en-US" w:eastAsia="zh-CN"/>
              </w:rPr>
              <w:t>6</w:t>
            </w:r>
            <w:r>
              <w:rPr>
                <w:rFonts w:hint="default" w:ascii="Times New Roman" w:hAnsi="Times New Roman" w:eastAsia="仿宋_GB2312" w:cs="Times New Roman"/>
                <w:color w:val="333333"/>
                <w:kern w:val="0"/>
                <w:sz w:val="32"/>
                <w:szCs w:val="32"/>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noWrap/>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2</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荧光定量PCR仪</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4</w:t>
            </w:r>
          </w:p>
        </w:tc>
        <w:tc>
          <w:tcPr>
            <w:tcW w:w="1596" w:type="dxa"/>
            <w:vMerge w:val="continue"/>
            <w:tcBorders/>
            <w:vAlign w:val="center"/>
          </w:tcPr>
          <w:p>
            <w:pPr>
              <w:pageBreakBefore w:val="0"/>
              <w:widowControl/>
              <w:kinsoku/>
              <w:wordWrap/>
              <w:overflowPunct/>
              <w:topLinePunct w:val="0"/>
              <w:bidi w:val="0"/>
              <w:snapToGrid w:val="0"/>
              <w:spacing w:line="560" w:lineRule="exact"/>
              <w:jc w:val="center"/>
              <w:textAlignment w:val="auto"/>
              <w:rPr>
                <w:rFonts w:hint="default" w:cs="宋体" w:asciiTheme="minorEastAsia" w:hAnsiTheme="minorEastAsia" w:eastAsiaTheme="minorEastAsia"/>
                <w:color w:val="333333"/>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noWrap/>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szCs w:val="24"/>
                <w:lang w:val="en-US" w:eastAsia="zh-CN" w:bidi="ar-SA"/>
              </w:rPr>
            </w:pPr>
            <w:r>
              <w:rPr>
                <w:rFonts w:hint="default" w:ascii="Times New Roman" w:hAnsi="Times New Roman" w:eastAsia="仿宋_GB2312" w:cs="Times New Roman"/>
                <w:sz w:val="32"/>
                <w:szCs w:val="32"/>
                <w:lang w:val="en-US" w:eastAsia="zh-CN"/>
              </w:rPr>
              <w:t>3</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szCs w:val="24"/>
                <w:lang w:val="en-US" w:eastAsia="zh-CN" w:bidi="ar-SA"/>
              </w:rPr>
            </w:pPr>
            <w:r>
              <w:rPr>
                <w:rFonts w:hint="default" w:ascii="Times New Roman" w:hAnsi="Times New Roman" w:eastAsia="仿宋_GB2312" w:cs="Times New Roman"/>
                <w:sz w:val="32"/>
                <w:szCs w:val="32"/>
                <w:lang w:val="en-US" w:eastAsia="zh-CN"/>
              </w:rPr>
              <w:t>医用洁净工作台</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cs="宋体" w:asciiTheme="minorEastAsia" w:hAnsiTheme="minorEastAsia" w:eastAsiaTheme="minorEastAsia"/>
                <w:color w:val="000000"/>
                <w:kern w:val="0"/>
                <w:sz w:val="24"/>
                <w:szCs w:val="24"/>
                <w:lang w:val="en-US" w:eastAsia="zh-CN" w:bidi="ar-SA"/>
              </w:rPr>
            </w:pPr>
            <w:r>
              <w:rPr>
                <w:rFonts w:hint="default" w:ascii="Times New Roman" w:hAnsi="Times New Roman" w:eastAsia="仿宋_GB2312" w:cs="Times New Roman"/>
                <w:sz w:val="32"/>
                <w:szCs w:val="32"/>
                <w:lang w:val="en-US" w:eastAsia="zh-CN"/>
              </w:rPr>
              <w:t>2</w:t>
            </w:r>
          </w:p>
        </w:tc>
        <w:tc>
          <w:tcPr>
            <w:tcW w:w="1596" w:type="dxa"/>
            <w:vMerge w:val="continue"/>
            <w:tcBorders/>
            <w:vAlign w:val="center"/>
          </w:tcPr>
          <w:p>
            <w:pPr>
              <w:pageBreakBefore w:val="0"/>
              <w:widowControl/>
              <w:kinsoku/>
              <w:wordWrap/>
              <w:overflowPunct/>
              <w:topLinePunct w:val="0"/>
              <w:bidi w:val="0"/>
              <w:snapToGrid w:val="0"/>
              <w:spacing w:line="560" w:lineRule="exact"/>
              <w:jc w:val="center"/>
              <w:textAlignment w:val="auto"/>
              <w:rPr>
                <w:rFonts w:hint="eastAsia" w:cs="宋体" w:asciiTheme="minorEastAsia" w:hAnsiTheme="minorEastAsia" w:eastAsiaTheme="minorEastAsia"/>
                <w:color w:val="333333"/>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4</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生物安全柜</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cs="宋体" w:asciiTheme="minorEastAsia" w:hAnsiTheme="minorEastAsia" w:eastAsiaTheme="minorEastAsia"/>
                <w:color w:val="000000"/>
                <w:kern w:val="0"/>
                <w:sz w:val="24"/>
                <w:lang w:val="en-US" w:eastAsia="zh-CN"/>
              </w:rPr>
            </w:pPr>
            <w:r>
              <w:rPr>
                <w:rFonts w:hint="default" w:ascii="Times New Roman" w:hAnsi="Times New Roman" w:eastAsia="仿宋_GB2312" w:cs="Times New Roman"/>
                <w:sz w:val="32"/>
                <w:szCs w:val="32"/>
                <w:lang w:val="en-US" w:eastAsia="zh-CN"/>
              </w:rPr>
              <w:t>2</w:t>
            </w:r>
          </w:p>
        </w:tc>
        <w:tc>
          <w:tcPr>
            <w:tcW w:w="1596" w:type="dxa"/>
            <w:vMerge w:val="continue"/>
            <w:tcBorders/>
            <w:vAlign w:val="center"/>
          </w:tcPr>
          <w:p>
            <w:pPr>
              <w:pageBreakBefore w:val="0"/>
              <w:widowControl/>
              <w:kinsoku/>
              <w:wordWrap/>
              <w:overflowPunct/>
              <w:topLinePunct w:val="0"/>
              <w:bidi w:val="0"/>
              <w:snapToGrid w:val="0"/>
              <w:spacing w:line="560" w:lineRule="exact"/>
              <w:jc w:val="center"/>
              <w:textAlignment w:val="auto"/>
              <w:rPr>
                <w:rFonts w:hint="default" w:cs="宋体" w:asciiTheme="minorEastAsia" w:hAnsiTheme="minorEastAsia" w:eastAsiaTheme="minorEastAsia"/>
                <w:color w:val="333333"/>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8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5</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立式灭菌器</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3</w:t>
            </w:r>
          </w:p>
        </w:tc>
        <w:tc>
          <w:tcPr>
            <w:tcW w:w="1596" w:type="dxa"/>
            <w:vMerge w:val="continue"/>
            <w:tcBorders/>
            <w:vAlign w:val="center"/>
          </w:tcPr>
          <w:p>
            <w:pPr>
              <w:pageBreakBefore w:val="0"/>
              <w:widowControl/>
              <w:kinsoku/>
              <w:wordWrap/>
              <w:overflowPunct/>
              <w:topLinePunct w:val="0"/>
              <w:bidi w:val="0"/>
              <w:snapToGrid w:val="0"/>
              <w:spacing w:line="560" w:lineRule="exact"/>
              <w:jc w:val="center"/>
              <w:textAlignment w:val="auto"/>
              <w:rPr>
                <w:rFonts w:hint="default" w:cs="宋体" w:asciiTheme="minorEastAsia" w:hAnsiTheme="minorEastAsia" w:eastAsiaTheme="minorEastAsia"/>
                <w:color w:val="333333"/>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85" w:type="dxa"/>
            <w:shd w:val="clear" w:color="auto" w:fill="auto"/>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6</w:t>
            </w:r>
          </w:p>
        </w:tc>
        <w:tc>
          <w:tcPr>
            <w:tcW w:w="2947"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全自动样品分杯（开帽机）处理系统技术</w:t>
            </w:r>
          </w:p>
        </w:tc>
        <w:tc>
          <w:tcPr>
            <w:tcW w:w="1823"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cs="宋体" w:asciiTheme="minorEastAsia" w:hAnsiTheme="minorEastAsia" w:eastAsiaTheme="minorEastAsia"/>
                <w:color w:val="000000"/>
                <w:kern w:val="0"/>
                <w:sz w:val="24"/>
                <w:lang w:eastAsia="zh-CN"/>
              </w:rPr>
            </w:pPr>
            <w:r>
              <w:rPr>
                <w:rFonts w:hint="default" w:ascii="Times New Roman" w:hAnsi="Times New Roman" w:eastAsia="仿宋_GB2312" w:cs="Times New Roman"/>
                <w:sz w:val="32"/>
                <w:szCs w:val="32"/>
                <w:lang w:val="en-US" w:eastAsia="zh-CN"/>
              </w:rPr>
              <w:t>1</w:t>
            </w:r>
          </w:p>
        </w:tc>
        <w:tc>
          <w:tcPr>
            <w:tcW w:w="1596" w:type="dxa"/>
            <w:vMerge w:val="continue"/>
            <w:tcBorders/>
            <w:vAlign w:val="center"/>
          </w:tcPr>
          <w:p>
            <w:pPr>
              <w:pageBreakBefore w:val="0"/>
              <w:widowControl/>
              <w:kinsoku/>
              <w:wordWrap/>
              <w:overflowPunct/>
              <w:topLinePunct w:val="0"/>
              <w:bidi w:val="0"/>
              <w:snapToGrid w:val="0"/>
              <w:spacing w:line="560" w:lineRule="exact"/>
              <w:jc w:val="center"/>
              <w:textAlignment w:val="auto"/>
              <w:rPr>
                <w:rFonts w:hint="eastAsia" w:cs="宋体" w:asciiTheme="minorEastAsia" w:hAnsiTheme="minorEastAsia" w:eastAsiaTheme="minorEastAsia"/>
                <w:color w:val="333333"/>
                <w:kern w:val="0"/>
                <w:sz w:val="24"/>
                <w:lang w:eastAsia="zh-CN"/>
              </w:rPr>
            </w:pPr>
          </w:p>
        </w:tc>
      </w:tr>
    </w:tbl>
    <w:p>
      <w:pPr>
        <w:pageBreakBefore w:val="0"/>
        <w:kinsoku/>
        <w:wordWrap/>
        <w:overflowPunct/>
        <w:topLinePunct w:val="0"/>
        <w:bidi w:val="0"/>
        <w:snapToGrid w:val="0"/>
        <w:spacing w:line="560" w:lineRule="exact"/>
        <w:textAlignment w:val="auto"/>
        <w:outlineLvl w:val="0"/>
        <w:rPr>
          <w:rFonts w:hint="eastAsia" w:ascii="宋体" w:hAnsi="宋体" w:eastAsia="宋体"/>
          <w:b/>
          <w:color w:val="000000"/>
          <w:sz w:val="24"/>
          <w:lang w:eastAsia="zh-CN"/>
        </w:rPr>
      </w:pPr>
      <w:r>
        <w:rPr>
          <w:rFonts w:hint="eastAsia" w:ascii="宋体" w:hAnsi="宋体"/>
          <w:b/>
          <w:color w:val="000000"/>
          <w:sz w:val="24"/>
          <w:lang w:val="en-US" w:eastAsia="zh-CN"/>
        </w:rPr>
        <w:t xml:space="preserve">   </w:t>
      </w:r>
      <w:r>
        <w:rPr>
          <w:rFonts w:hint="eastAsia" w:ascii="宋体" w:hAnsi="宋体"/>
          <w:b/>
          <w:color w:val="000000"/>
          <w:sz w:val="24"/>
          <w:lang w:eastAsia="zh-CN"/>
        </w:rPr>
        <w:tab/>
      </w:r>
    </w:p>
    <w:p>
      <w:pPr>
        <w:keepNext w:val="0"/>
        <w:keepLines w:val="0"/>
        <w:pageBreakBefore w:val="0"/>
        <w:widowControl w:val="0"/>
        <w:numPr>
          <w:ilvl w:val="0"/>
          <w:numId w:val="1"/>
        </w:numPr>
        <w:tabs>
          <w:tab w:val="left" w:pos="3816"/>
        </w:tabs>
        <w:kinsoku/>
        <w:wordWrap/>
        <w:overflowPunct/>
        <w:topLinePunct w:val="0"/>
        <w:autoSpaceDE/>
        <w:autoSpaceDN/>
        <w:bidi w:val="0"/>
        <w:adjustRightInd w:val="0"/>
        <w:snapToGrid w:val="0"/>
        <w:spacing w:line="560" w:lineRule="exact"/>
        <w:ind w:firstLine="643" w:firstLineChars="200"/>
        <w:textAlignment w:val="auto"/>
        <w:outlineLvl w:val="0"/>
        <w:rPr>
          <w:rFonts w:hint="eastAsia" w:ascii="宋体" w:hAnsi="宋体"/>
          <w:b/>
          <w:color w:val="000000"/>
          <w:sz w:val="24"/>
          <w:lang w:eastAsia="zh-CN"/>
        </w:rPr>
      </w:pPr>
      <w:r>
        <w:rPr>
          <w:rFonts w:hint="eastAsia" w:ascii="仿宋_GB2312" w:hAnsi="仿宋_GB2312" w:eastAsia="仿宋_GB2312" w:cs="仿宋_GB2312"/>
          <w:b/>
          <w:color w:val="000000"/>
          <w:sz w:val="32"/>
          <w:szCs w:val="32"/>
        </w:rPr>
        <w:t>设备要求及技术参数</w:t>
      </w:r>
      <w:r>
        <w:rPr>
          <w:rFonts w:hint="eastAsia" w:ascii="宋体" w:hAnsi="宋体"/>
          <w:b/>
          <w:color w:val="000000"/>
          <w:sz w:val="24"/>
          <w:lang w:eastAsia="zh-CN"/>
        </w:rPr>
        <w:tab/>
      </w:r>
      <w:bookmarkEnd w:id="17"/>
      <w:bookmarkEnd w:id="18"/>
      <w:bookmarkStart w:id="20" w:name="_Toc12372851"/>
    </w:p>
    <w:p>
      <w:pPr>
        <w:keepNext w:val="0"/>
        <w:keepLines w:val="0"/>
        <w:pageBreakBefore w:val="0"/>
        <w:widowControl w:val="0"/>
        <w:numPr>
          <w:numId w:val="0"/>
        </w:numPr>
        <w:tabs>
          <w:tab w:val="left" w:pos="3816"/>
        </w:tabs>
        <w:kinsoku/>
        <w:wordWrap/>
        <w:overflowPunct/>
        <w:topLinePunct w:val="0"/>
        <w:autoSpaceDE/>
        <w:autoSpaceDN/>
        <w:bidi w:val="0"/>
        <w:adjustRightInd w:val="0"/>
        <w:snapToGrid w:val="0"/>
        <w:spacing w:line="560" w:lineRule="exact"/>
        <w:ind w:firstLine="321" w:firstLineChars="100"/>
        <w:textAlignment w:val="auto"/>
        <w:outlineLvl w:val="0"/>
        <w:rPr>
          <w:rFonts w:hint="default" w:ascii="Times New Roman" w:hAnsi="Times New Roman" w:eastAsia="仿宋_GB2312" w:cs="Times New Roman"/>
          <w:b/>
          <w:bCs/>
          <w:sz w:val="32"/>
          <w:szCs w:val="32"/>
          <w:lang w:val="en-US" w:eastAsia="zh-CN"/>
        </w:rPr>
      </w:pPr>
      <w:r>
        <w:rPr>
          <w:rFonts w:hint="eastAsia" w:eastAsia="仿宋_GB2312" w:cs="Times New Roman"/>
          <w:b/>
          <w:bCs/>
          <w:sz w:val="32"/>
          <w:szCs w:val="32"/>
          <w:lang w:val="en-US" w:eastAsia="zh-CN"/>
        </w:rPr>
        <w:t>（一）</w:t>
      </w:r>
      <w:r>
        <w:rPr>
          <w:rFonts w:hint="default" w:ascii="Times New Roman" w:hAnsi="Times New Roman" w:eastAsia="仿宋_GB2312" w:cs="Times New Roman"/>
          <w:b/>
          <w:bCs/>
          <w:sz w:val="32"/>
          <w:szCs w:val="32"/>
        </w:rPr>
        <w:t>核酸提取纯化仪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工作通量：</w:t>
      </w:r>
      <w:r>
        <w:rPr>
          <w:rFonts w:hint="eastAsia" w:eastAsia="仿宋_GB2312" w:cs="Times New Roman"/>
          <w:sz w:val="32"/>
          <w:szCs w:val="32"/>
          <w:lang w:val="en-US" w:eastAsia="zh-CN"/>
        </w:rPr>
        <w:t>96通道，</w:t>
      </w:r>
      <w:r>
        <w:rPr>
          <w:rFonts w:hint="default" w:ascii="Times New Roman" w:hAnsi="Times New Roman" w:eastAsia="仿宋_GB2312" w:cs="Times New Roman"/>
          <w:sz w:val="32"/>
          <w:szCs w:val="32"/>
          <w:lang w:val="en-US"/>
        </w:rPr>
        <w:t>一次运行可处理1-</w:t>
      </w:r>
      <w:r>
        <w:rPr>
          <w:rFonts w:hint="default" w:ascii="Times New Roman" w:hAnsi="Times New Roman" w:eastAsia="仿宋_GB2312" w:cs="Times New Roman"/>
          <w:sz w:val="32"/>
          <w:szCs w:val="32"/>
          <w:lang w:val="en-US" w:eastAsia="zh-CN"/>
        </w:rPr>
        <w:t>96</w:t>
      </w:r>
      <w:r>
        <w:rPr>
          <w:rFonts w:hint="default" w:ascii="Times New Roman" w:hAnsi="Times New Roman" w:eastAsia="仿宋_GB2312" w:cs="Times New Roman"/>
          <w:sz w:val="32"/>
          <w:szCs w:val="32"/>
          <w:lang w:val="en-US"/>
        </w:rPr>
        <w:t>个样本；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处理体积：处理样本</w:t>
      </w:r>
      <w:r>
        <w:rPr>
          <w:rFonts w:hint="default" w:ascii="Times New Roman" w:hAnsi="Times New Roman" w:eastAsia="仿宋_GB2312" w:cs="Times New Roman"/>
          <w:sz w:val="32"/>
          <w:szCs w:val="32"/>
          <w:lang w:val="en-US" w:eastAsia="zh-CN"/>
        </w:rPr>
        <w:t>体积</w:t>
      </w:r>
      <w:r>
        <w:rPr>
          <w:rFonts w:hint="default" w:ascii="Times New Roman" w:hAnsi="Times New Roman" w:eastAsia="仿宋_GB2312" w:cs="Times New Roman"/>
          <w:sz w:val="32"/>
          <w:szCs w:val="32"/>
          <w:lang w:val="en-US"/>
        </w:rPr>
        <w:t>20～1000μl；</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工作方式：磁珠法</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磁珠收集效率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≥9</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4、安全性：仪器全程自动、封闭操作，配备开门保护功能，具有开机自检、声音提示、故障保护和报警等功能；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5、加热温度：室温+10℃～120℃（裂解洗脱均可加热，提取过程无需取出提取仓加热），深孔板底部全包裹加热，可提微量核酸；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6、操作界面：≥10寸触摸屏嵌入式一体化操作，Windows系统；实时显示温度、实验进程等信息；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7、程序管理：新建、编辑、删除，模式程序，单机在线自由灵活编辑提取程序，无需外接电脑；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8、污染控制：内置紫外灭菌模块，封闭反应仓，配套使用预装密封试剂和一次性耗材，最大程度减少实验人员与化学试剂的接触保证操作安全。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9、磁棒设计：模块化磁棒设计，可自行更换磁棒，无需校准。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rPr>
        <w:t>振动混合模式：采用上下搅拌震荡模式，振动速度多档可调，振动幅度根据溶液体积自动调整</w:t>
      </w:r>
      <w:r>
        <w:rPr>
          <w:rFonts w:hint="default" w:ascii="Times New Roman" w:hAnsi="Times New Roman" w:eastAsia="仿宋_GB2312" w:cs="Times New Roman"/>
          <w:sz w:val="32"/>
          <w:szCs w:val="32"/>
          <w:lang w:val="en-US" w:eastAsia="zh-CN"/>
        </w:rPr>
        <w:t>，减少磁珠残留量</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rPr>
        <w:t>磁珠吸附模式：分普通/强力吸附模式，强力吸附模式可保证洗脱步骤在洗脱体积很小的情况下，解决微量或低浓度样本</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12、配套的核酸提取试剂，生产厂家具备原厂生产的病毒核酸提取试剂，提供备案证以证明。使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13、生产企业要有</w:t>
      </w:r>
      <w:r>
        <w:rPr>
          <w:rFonts w:hint="eastAsia" w:eastAsia="仿宋_GB2312" w:cs="Times New Roman"/>
          <w:sz w:val="32"/>
          <w:szCs w:val="32"/>
          <w:lang w:val="en-US" w:eastAsia="zh-CN"/>
        </w:rPr>
        <w:t>三甲</w:t>
      </w:r>
      <w:r>
        <w:rPr>
          <w:rFonts w:hint="default" w:ascii="Times New Roman" w:hAnsi="Times New Roman" w:eastAsia="仿宋_GB2312" w:cs="Times New Roman"/>
          <w:sz w:val="32"/>
          <w:szCs w:val="32"/>
          <w:lang w:val="en-US" w:eastAsia="zh-CN"/>
        </w:rPr>
        <w:t>医院正在使用的证明。并提供医疗器械注册证的证明。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rPr>
      </w:pPr>
      <w:bookmarkStart w:id="21" w:name="_Hlk40769973"/>
      <w:bookmarkStart w:id="22" w:name="_Hlk40762231"/>
      <w:r>
        <w:rPr>
          <w:rFonts w:hint="eastAsia" w:eastAsia="仿宋_GB2312" w:cs="Times New Roman"/>
          <w:b/>
          <w:bCs/>
          <w:sz w:val="32"/>
          <w:szCs w:val="32"/>
          <w:lang w:val="en-US" w:eastAsia="zh-CN"/>
        </w:rPr>
        <w:t>（二）</w:t>
      </w:r>
      <w:r>
        <w:rPr>
          <w:rFonts w:hint="default" w:ascii="Times New Roman" w:hAnsi="Times New Roman" w:eastAsia="仿宋_GB2312" w:cs="Times New Roman"/>
          <w:b/>
          <w:bCs/>
          <w:sz w:val="32"/>
          <w:szCs w:val="32"/>
        </w:rPr>
        <w:t>荧光定量PCR仪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样本容量96×0.2mL，可用12×8联管，96孔板(底部透明)；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反应体系5~100μL；</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可探测荧光染料有：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F1:FAM/SYBRGreenI</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F2:HEX/VIC/JOE/CY3/NED/TAMRA</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F3:TexasRed/ROX</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F4:Cy5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动力学范围为：1-1010copies；</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长寿命LED光源，成对激发。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★支持Windows平板电脑，全新的触摸屏操控</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多种接口供选，与计算机接口可供选用的有RS232、USB、蓝牙。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7</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荧光检测通道：4通道，可升级到六通道。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w:t>
      </w:r>
      <w:r>
        <w:rPr>
          <w:rFonts w:hint="default" w:ascii="Times New Roman" w:hAnsi="Times New Roman" w:eastAsia="仿宋_GB2312" w:cs="Times New Roman"/>
          <w:sz w:val="32"/>
          <w:szCs w:val="32"/>
          <w:lang w:val="en-US" w:eastAsia="zh-CN"/>
        </w:rPr>
        <w:t>检测器</w:t>
      </w:r>
      <w:r>
        <w:rPr>
          <w:rFonts w:hint="default" w:ascii="Times New Roman" w:hAnsi="Times New Roman" w:eastAsia="仿宋_GB2312" w:cs="Times New Roman"/>
          <w:sz w:val="32"/>
          <w:szCs w:val="32"/>
          <w:lang w:val="en-US"/>
        </w:rPr>
        <w:t>：高灵敏PMT光电倍增管</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9</w:t>
      </w:r>
      <w:r>
        <w:rPr>
          <w:rFonts w:hint="default" w:ascii="Times New Roman" w:hAnsi="Times New Roman" w:eastAsia="仿宋_GB2312" w:cs="Times New Roman"/>
          <w:sz w:val="32"/>
          <w:szCs w:val="32"/>
          <w:lang w:val="en-US" w:eastAsia="zh-CN"/>
        </w:rPr>
        <w:t>、梯度功能：</w:t>
      </w:r>
      <w:r>
        <w:rPr>
          <w:rFonts w:hint="default" w:ascii="Times New Roman" w:hAnsi="Times New Roman" w:eastAsia="仿宋_GB2312" w:cs="Times New Roman"/>
          <w:sz w:val="32"/>
          <w:szCs w:val="32"/>
          <w:lang w:val="en-US"/>
        </w:rPr>
        <w:t>模块梯度范围为1～36℃，</w:t>
      </w:r>
      <w:r>
        <w:rPr>
          <w:rFonts w:hint="default" w:ascii="Times New Roman" w:hAnsi="Times New Roman" w:eastAsia="仿宋_GB2312" w:cs="Times New Roman"/>
          <w:sz w:val="32"/>
          <w:szCs w:val="32"/>
          <w:lang w:val="en-US" w:eastAsia="zh-CN"/>
        </w:rPr>
        <w:t>最多</w:t>
      </w:r>
      <w:r>
        <w:rPr>
          <w:rFonts w:hint="default" w:ascii="Times New Roman" w:hAnsi="Times New Roman" w:eastAsia="仿宋_GB2312" w:cs="Times New Roman"/>
          <w:sz w:val="32"/>
          <w:szCs w:val="32"/>
          <w:lang w:val="en-US"/>
        </w:rPr>
        <w:t>可设置</w:t>
      </w:r>
      <w:r>
        <w:rPr>
          <w:rFonts w:hint="default" w:ascii="Times New Roman" w:hAnsi="Times New Roman" w:eastAsia="仿宋_GB2312" w:cs="Times New Roman"/>
          <w:sz w:val="32"/>
          <w:szCs w:val="32"/>
          <w:lang w:val="en-US" w:eastAsia="zh-CN"/>
        </w:rPr>
        <w:t>12列</w:t>
      </w:r>
      <w:r>
        <w:rPr>
          <w:rFonts w:hint="default" w:ascii="Times New Roman" w:hAnsi="Times New Roman" w:eastAsia="仿宋_GB2312" w:cs="Times New Roman"/>
          <w:sz w:val="32"/>
          <w:szCs w:val="32"/>
          <w:lang w:val="en-US"/>
        </w:rPr>
        <w:t>温度梯度</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模块具有SOAK低温保存功能</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热盖温度范围：30～110℃，全封闭3D电动热盖，无需手动开/闭，可以实现试管压力恒定，自动升降，有效防止试剂蒸发，</w:t>
      </w:r>
      <w:r>
        <w:rPr>
          <w:rFonts w:hint="default" w:ascii="Times New Roman" w:hAnsi="Times New Roman" w:eastAsia="仿宋_GB2312" w:cs="Times New Roman"/>
          <w:sz w:val="32"/>
          <w:szCs w:val="32"/>
          <w:lang w:val="en-US" w:eastAsia="zh-CN"/>
        </w:rPr>
        <w:t>移动过程中具备防夹手功能</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荧光强度检测重复性：5%。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升降温速率：5.0℃/s(max)</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仪器采用TAS技术，极大提高模块的控温精度及温度均一性。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温度控制精度：≤±0.1℃；温度波动范围：≤±0.1℃；模块温度均匀性：≤±0.3℃。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控温模式：依据加液量自动选择BLOCK和模拟TUBE两种控温模式。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16</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★扫描模式：底部荧光扫描方式，光程短、准确度</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重复性高</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全板扫描和指定行两种扫描模式。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操作界面：全中文操作界面，程序设定灵活，分析和报告功能全面，参数可储存。具有绝对定量、相对定量、SNP分析系统功能、熔解度曲线分析功能、HRM分析功能；梯度功能、自动增益调节等。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8、生产企业要有</w:t>
      </w:r>
      <w:r>
        <w:rPr>
          <w:rFonts w:hint="eastAsia" w:eastAsia="仿宋_GB2312" w:cs="Times New Roman"/>
          <w:sz w:val="32"/>
          <w:szCs w:val="32"/>
          <w:lang w:val="en-US" w:eastAsia="zh-CN"/>
        </w:rPr>
        <w:t>三甲</w:t>
      </w:r>
      <w:r>
        <w:rPr>
          <w:rFonts w:hint="default" w:ascii="Times New Roman" w:hAnsi="Times New Roman" w:eastAsia="仿宋_GB2312" w:cs="Times New Roman"/>
          <w:sz w:val="32"/>
          <w:szCs w:val="32"/>
          <w:lang w:val="en-US" w:eastAsia="zh-CN"/>
        </w:rPr>
        <w:t>医院正在使用的证明。</w:t>
      </w:r>
      <w:r>
        <w:rPr>
          <w:rFonts w:hint="default" w:ascii="Times New Roman" w:hAnsi="Times New Roman" w:eastAsia="仿宋_GB2312" w:cs="Times New Roman"/>
          <w:sz w:val="32"/>
          <w:szCs w:val="32"/>
          <w:lang w:val="en-US"/>
        </w:rPr>
        <w:t>并提供医疗器械注册证证明。</w:t>
      </w:r>
      <w:bookmarkEnd w:id="21"/>
      <w:bookmarkEnd w:id="22"/>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eastAsia="仿宋_GB2312" w:cs="Times New Roman"/>
          <w:b/>
          <w:bCs/>
          <w:sz w:val="32"/>
          <w:szCs w:val="32"/>
          <w:lang w:val="en-US" w:eastAsia="zh-CN"/>
        </w:rPr>
        <w:t>（三）</w:t>
      </w:r>
      <w:r>
        <w:rPr>
          <w:rFonts w:hint="default" w:ascii="Times New Roman" w:hAnsi="Times New Roman" w:eastAsia="仿宋_GB2312" w:cs="Times New Roman"/>
          <w:b/>
          <w:bCs/>
          <w:sz w:val="32"/>
          <w:szCs w:val="32"/>
          <w:lang w:eastAsia="zh-CN"/>
        </w:rPr>
        <w:t>医用</w:t>
      </w:r>
      <w:r>
        <w:rPr>
          <w:rFonts w:hint="default" w:ascii="Times New Roman" w:hAnsi="Times New Roman" w:eastAsia="仿宋_GB2312" w:cs="Times New Roman"/>
          <w:b/>
          <w:bCs/>
          <w:sz w:val="32"/>
          <w:szCs w:val="32"/>
        </w:rPr>
        <w:t>洁净工作台</w:t>
      </w:r>
      <w:r>
        <w:rPr>
          <w:rFonts w:hint="default" w:ascii="Times New Roman" w:hAnsi="Times New Roman" w:eastAsia="仿宋_GB2312" w:cs="Times New Roman"/>
          <w:b/>
          <w:bCs/>
          <w:sz w:val="32"/>
          <w:szCs w:val="32"/>
          <w:lang w:val="en-US" w:eastAsia="zh-CN"/>
        </w:rPr>
        <w:t>技术参数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结构特点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洁净台分类：垂直层流、单面操作；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rPr>
        <w:t>过滤效率:过滤器均采用无隔板高效过滤器，对直径0.3μm颗粒过滤效率为99.999%；</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3、具有预过滤器，能够有效拦截大的颗粒物及杂质，有效延长高效过滤器的使用寿命；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rPr>
        <w:t>工作区台面</w:t>
      </w:r>
      <w:r>
        <w:rPr>
          <w:rFonts w:hint="default" w:ascii="Times New Roman" w:hAnsi="Times New Roman" w:eastAsia="仿宋_GB2312" w:cs="Times New Roman"/>
          <w:sz w:val="32"/>
          <w:szCs w:val="32"/>
          <w:lang w:val="en-US" w:eastAsia="zh-CN"/>
        </w:rPr>
        <w:t>选用优质304</w:t>
      </w:r>
      <w:r>
        <w:rPr>
          <w:rFonts w:hint="default" w:ascii="Times New Roman" w:hAnsi="Times New Roman" w:eastAsia="仿宋_GB2312" w:cs="Times New Roman"/>
          <w:sz w:val="32"/>
          <w:szCs w:val="32"/>
          <w:lang w:val="en-US"/>
        </w:rPr>
        <w:t>不锈钢材质，美观</w:t>
      </w:r>
      <w:r>
        <w:rPr>
          <w:rFonts w:hint="default" w:ascii="Times New Roman" w:hAnsi="Times New Roman" w:eastAsia="仿宋_GB2312" w:cs="Times New Roman"/>
          <w:sz w:val="32"/>
          <w:szCs w:val="32"/>
          <w:lang w:val="en-US" w:eastAsia="zh-CN"/>
        </w:rPr>
        <w:t>、易清理、</w:t>
      </w:r>
      <w:r>
        <w:rPr>
          <w:rFonts w:hint="default" w:ascii="Times New Roman" w:hAnsi="Times New Roman" w:eastAsia="仿宋_GB2312" w:cs="Times New Roman"/>
          <w:sz w:val="32"/>
          <w:szCs w:val="32"/>
          <w:lang w:val="en-US"/>
        </w:rPr>
        <w:t>耐腐蚀；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5、箱体采用优质冷轧钢板静电喷涂，美观、稳定性好</w:t>
      </w:r>
      <w:r>
        <w:rPr>
          <w:rFonts w:hint="default" w:ascii="Times New Roman" w:hAnsi="Times New Roman" w:eastAsia="仿宋_GB2312" w:cs="Times New Roman"/>
          <w:sz w:val="32"/>
          <w:szCs w:val="32"/>
          <w:lang w:val="en-US"/>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rPr>
        <w:t>控制面板采用轻触式开关，按键由风机键、照明键、紫外键、电源键、插座键、风量减小键、风量增大键组成，易于操作；显示屏显示内容有：风机的风速、显示时间、紫外灯的工作时间、过滤器的工作时间；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洁净台前视窗是采用5mm厚钢化玻璃的手动视窗，玻璃门-配重结构，上下开启灵活方便，行程范围内任意高度悬停；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rPr>
        <w:t>紫外灯与风机、日光灯互锁功能，即当风机、日光灯工作时，紫外灯无法开启，保护操作人员；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rPr>
        <w:t>具有紫外灯、风机预约定时功能；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rPr>
        <w:t>具有压力单位转换功能，进行PA和m/s之间的单位切换；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紫外灯延时5S开启，保护操作人员安全；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设置前窗开口安全高度，在低于或高于安全高度时报警，保证设备使用时性能稳定；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福马脚轮设计，方便柜体移动与固定</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rPr>
        <w:t>具有医疗器械注册证</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z w:val="32"/>
          <w:szCs w:val="32"/>
        </w:rPr>
      </w:pPr>
      <w:r>
        <w:rPr>
          <w:rFonts w:hint="eastAsia" w:eastAsia="仿宋_GB2312" w:cs="Times New Roman"/>
          <w:b/>
          <w:bCs/>
          <w:sz w:val="32"/>
          <w:szCs w:val="32"/>
          <w:lang w:val="en-US" w:eastAsia="zh-CN"/>
        </w:rPr>
        <w:t>（四）</w:t>
      </w:r>
      <w:r>
        <w:rPr>
          <w:rFonts w:hint="default" w:ascii="Times New Roman" w:hAnsi="Times New Roman" w:eastAsia="仿宋_GB2312" w:cs="Times New Roman"/>
          <w:b/>
          <w:bCs/>
          <w:sz w:val="32"/>
          <w:szCs w:val="32"/>
        </w:rPr>
        <w:t>生物安全柜主要技术参数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规格型号：双人、100%外排，II级B2型；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过滤效率：99.99%（直径为0.3um微粒）；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噪音：</w:t>
      </w:r>
      <w:r>
        <w:rPr>
          <w:rFonts w:hint="default" w:ascii="Times New Roman" w:hAnsi="Times New Roman" w:eastAsia="仿宋_GB2312" w:cs="Times New Roman"/>
          <w:sz w:val="32"/>
          <w:szCs w:val="32"/>
          <w:lang w:val="en-US"/>
        </w:rPr>
        <w:t>≤6</w:t>
      </w:r>
      <w:r>
        <w:rPr>
          <w:rFonts w:hint="default" w:ascii="Times New Roman" w:hAnsi="Times New Roman" w:eastAsia="仿宋_GB2312" w:cs="Times New Roman"/>
          <w:sz w:val="32"/>
          <w:szCs w:val="32"/>
          <w:lang w:val="en-US" w:eastAsia="zh-CN"/>
        </w:rPr>
        <w:t>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en-US"/>
        </w:rPr>
        <w:t>具有医疗器械注册证</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推荐品牌：力康、鑫贝西、苏净安泰</w:t>
      </w:r>
      <w:r>
        <w:rPr>
          <w:rFonts w:hint="eastAsia" w:eastAsia="仿宋_GB2312" w:cs="Times New Roman"/>
          <w:sz w:val="32"/>
          <w:szCs w:val="32"/>
          <w:lang w:val="en-US" w:eastAsia="zh-CN"/>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eastAsia="仿宋_GB2312" w:cs="Times New Roman"/>
          <w:b/>
          <w:bCs/>
          <w:sz w:val="32"/>
          <w:szCs w:val="32"/>
          <w:lang w:val="en-US" w:eastAsia="zh-CN"/>
        </w:rPr>
        <w:t>（五）</w:t>
      </w:r>
      <w:r>
        <w:rPr>
          <w:rFonts w:hint="default" w:ascii="Times New Roman" w:hAnsi="Times New Roman" w:eastAsia="仿宋_GB2312" w:cs="Times New Roman"/>
          <w:b/>
          <w:bCs/>
          <w:sz w:val="32"/>
          <w:szCs w:val="32"/>
          <w:lang w:val="en-US" w:eastAsia="zh-CN"/>
        </w:rPr>
        <w:t>立式灭菌器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1、容积：100L</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2、功率：5200W</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3、内腔尺寸：Φ386x875mm</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rPr>
        <w:t>灭菌腔体、灭菌提篮均为优质不锈钢SUS304材质制成，内部抛光处理，汽水内循环</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rPr>
        <w:t>手轮式平移门结构，并具有门安全联锁装置及门检测装置，有压力时门无法打开，门关闭不到位程序不能运行</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rPr>
        <w:t>具有防干烧报警、超压自泄、超温保护、电力安全保护，所有报警具有声光警示</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LED数字显示灭菌腔内温度、时间和故障报警代码</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rPr>
        <w:t>自胀式硅橡胶密封圈，密封效果好，使用寿命长</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rPr>
        <w:t>电磁阀使用进口品牌，压力表、安全阀均按照国家标准提供编号、铭牌、合格证等强制性资料</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rPr>
        <w:t>微电脑控制，具有器械、敷料、液体等五项固定程序，两项自定义程序，并具有干燥功能</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设备注水、升温、灭菌、排气、干燥整个流程全自动运行，灭菌完成后声光提醒</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灭菌腔体温度均匀性</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rPr>
        <w:t>℃，干燥温度范围：50~120℃</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脉动排气技术，确保蒸汽饱和度</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rPr>
        <w:t>全防护式门罩，铰链、转轴均不外露</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rPr>
        <w:t>具有快速排气和慢速排气功能，避免灭菌液体溢出</w:t>
      </w:r>
      <w:r>
        <w:rPr>
          <w:rFonts w:hint="eastAsia"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lang w:val="en-US" w:eastAsia="zh-CN"/>
        </w:rPr>
        <w:t>6、推荐品牌：新华、松下、博科</w:t>
      </w:r>
      <w:r>
        <w:rPr>
          <w:rFonts w:hint="eastAsia" w:eastAsia="仿宋_GB2312" w:cs="Times New Roman"/>
          <w:sz w:val="32"/>
          <w:szCs w:val="32"/>
          <w:lang w:val="en-US" w:eastAsia="zh-CN"/>
        </w:rPr>
        <w:t>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eastAsia" w:eastAsia="仿宋_GB2312" w:cs="Times New Roman"/>
          <w:b/>
          <w:bCs/>
          <w:sz w:val="32"/>
          <w:szCs w:val="32"/>
          <w:lang w:val="en-US" w:eastAsia="zh-CN"/>
        </w:rPr>
        <w:t>（六）</w:t>
      </w:r>
      <w:r>
        <w:rPr>
          <w:rFonts w:hint="default" w:ascii="Times New Roman" w:hAnsi="Times New Roman" w:eastAsia="仿宋_GB2312" w:cs="Times New Roman"/>
          <w:b/>
          <w:bCs/>
          <w:sz w:val="32"/>
          <w:szCs w:val="32"/>
          <w:lang w:val="en-US" w:eastAsia="zh-CN"/>
        </w:rPr>
        <w:t>全自动样品分杯（开帽机）处理系统技术参数</w:t>
      </w:r>
    </w:p>
    <w:tbl>
      <w:tblPr>
        <w:tblStyle w:val="16"/>
        <w:tblW w:w="8436" w:type="dxa"/>
        <w:tblInd w:w="96" w:type="dxa"/>
        <w:tblLayout w:type="autofit"/>
        <w:tblCellMar>
          <w:top w:w="0" w:type="dxa"/>
          <w:left w:w="108" w:type="dxa"/>
          <w:bottom w:w="0" w:type="dxa"/>
          <w:right w:w="108" w:type="dxa"/>
        </w:tblCellMar>
      </w:tblPr>
      <w:tblGrid>
        <w:gridCol w:w="972"/>
        <w:gridCol w:w="1920"/>
        <w:gridCol w:w="5544"/>
      </w:tblGrid>
      <w:tr>
        <w:tblPrEx>
          <w:tblCellMar>
            <w:top w:w="0" w:type="dxa"/>
            <w:left w:w="108" w:type="dxa"/>
            <w:bottom w:w="0" w:type="dxa"/>
            <w:right w:w="108" w:type="dxa"/>
          </w:tblCellMar>
        </w:tblPrEx>
        <w:trPr>
          <w:trHeight w:val="318" w:hRule="atLeast"/>
        </w:trPr>
        <w:tc>
          <w:tcPr>
            <w:tcW w:w="972" w:type="dxa"/>
            <w:tcBorders>
              <w:top w:val="single" w:color="BDD6EE" w:sz="12" w:space="0"/>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序号</w:t>
            </w:r>
          </w:p>
        </w:tc>
        <w:tc>
          <w:tcPr>
            <w:tcW w:w="1920" w:type="dxa"/>
            <w:tcBorders>
              <w:top w:val="single" w:color="BDD6EE" w:sz="12" w:space="0"/>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指标</w:t>
            </w:r>
          </w:p>
        </w:tc>
        <w:tc>
          <w:tcPr>
            <w:tcW w:w="5544" w:type="dxa"/>
            <w:tcBorders>
              <w:top w:val="single" w:color="BDD6EE" w:sz="12" w:space="0"/>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性能参数</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★实验流程</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采样管原管带盖上样，实现自动化样本条码识别、自动化开盖、自动化管转板分液，以及采样管的自动化关盖和回收。</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2</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★处理速度</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处理96个样本整个实验过程</w:t>
            </w:r>
            <w:r>
              <w:rPr>
                <w:rFonts w:hint="default" w:ascii="Times New Roman" w:hAnsi="Times New Roman" w:eastAsia="仿宋_GB2312" w:cs="Times New Roman"/>
                <w:sz w:val="28"/>
                <w:szCs w:val="28"/>
              </w:rPr>
              <w:t>≦18</w:t>
            </w:r>
            <w:r>
              <w:rPr>
                <w:rFonts w:hint="default" w:ascii="Times New Roman" w:hAnsi="Times New Roman" w:eastAsia="仿宋_GB2312" w:cs="Times New Roman"/>
                <w:sz w:val="28"/>
                <w:szCs w:val="28"/>
                <w:lang w:val="en-US"/>
              </w:rPr>
              <w:t>min</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3</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样本管规格</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支持</w:t>
            </w:r>
            <w:r>
              <w:rPr>
                <w:rFonts w:hint="default" w:ascii="Times New Roman" w:hAnsi="Times New Roman" w:eastAsia="仿宋_GB2312" w:cs="Times New Roman"/>
                <w:sz w:val="28"/>
                <w:szCs w:val="28"/>
                <w:lang w:val="en-US" w:eastAsia="zh-CN"/>
              </w:rPr>
              <w:t>目前市场上常见的（1:1,1:10，1:20）</w:t>
            </w:r>
            <w:r>
              <w:rPr>
                <w:rFonts w:hint="default" w:ascii="Times New Roman" w:hAnsi="Times New Roman" w:eastAsia="仿宋_GB2312" w:cs="Times New Roman"/>
                <w:sz w:val="28"/>
                <w:szCs w:val="28"/>
                <w:lang w:val="en-US"/>
              </w:rPr>
              <w:t>离心管、冻存管、病毒采样管、采血管等螺旋盖样本管</w:t>
            </w:r>
            <w:r>
              <w:rPr>
                <w:rFonts w:hint="default" w:ascii="Times New Roman" w:hAnsi="Times New Roman" w:eastAsia="仿宋_GB2312" w:cs="Times New Roman"/>
                <w:sz w:val="28"/>
                <w:szCs w:val="28"/>
                <w:lang w:val="en-US" w:eastAsia="zh-CN"/>
              </w:rPr>
              <w:t>，满足不了</w:t>
            </w:r>
            <w:r>
              <w:rPr>
                <w:rFonts w:hint="eastAsia" w:eastAsia="仿宋_GB2312" w:cs="Times New Roman"/>
                <w:sz w:val="28"/>
                <w:szCs w:val="28"/>
                <w:lang w:val="en-US" w:eastAsia="zh-CN"/>
              </w:rPr>
              <w:t>应提供</w:t>
            </w:r>
            <w:r>
              <w:rPr>
                <w:rFonts w:hint="default" w:ascii="Times New Roman" w:hAnsi="Times New Roman" w:eastAsia="仿宋_GB2312" w:cs="Times New Roman"/>
                <w:sz w:val="28"/>
                <w:szCs w:val="28"/>
                <w:lang w:val="en-US" w:eastAsia="zh-CN"/>
              </w:rPr>
              <w:t>改进方案</w:t>
            </w:r>
            <w:r>
              <w:rPr>
                <w:rFonts w:hint="eastAsia" w:eastAsia="仿宋_GB2312" w:cs="Times New Roman"/>
                <w:sz w:val="28"/>
                <w:szCs w:val="28"/>
                <w:lang w:val="en-US" w:eastAsia="zh-CN"/>
              </w:rPr>
              <w:t>或免费升级</w:t>
            </w:r>
            <w:r>
              <w:rPr>
                <w:rFonts w:hint="default" w:ascii="Times New Roman" w:hAnsi="Times New Roman" w:eastAsia="仿宋_GB2312" w:cs="Times New Roman"/>
                <w:sz w:val="28"/>
                <w:szCs w:val="28"/>
                <w:lang w:val="en-US" w:eastAsia="zh-CN"/>
              </w:rPr>
              <w:t>。</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4</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样本通量</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1-96样本</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5</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样本载架</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2个独立转盘式样本载架，提高样本处理效率</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6</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★机械臂</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3个独立机械臂</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7</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★机械臂重复定位精度</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±0.1mm</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8</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★开盖模块</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配备4个高扭矩开盖抓手，具有失步修正功能，防止使用次数过多，造成样本管脱落</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9</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工作模式</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可同时进行4个采样管的开盖工作，具有红外检测模块，发现未开盖样本后会进行2次开盖</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0</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加样通道</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2个独立加样通道</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1</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液体处理方式</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一次性加样Tip头杜绝污染（配套滤芯吸头），液面探测功能，凝块检测功能</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2</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液面检测</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气压感应液面高度</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3</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移液范围</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1μl-1000μl</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4</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★液体分配精度</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移液体积10μl，准确度±5%，CV≤3%；移液体积100μl，准确度±2%，CV≤2%；移液体积1000μl，准确度±1%，CV≤1%；</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5</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配套耗材</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仅需一种规格一次性滤芯吸头</w:t>
            </w:r>
          </w:p>
        </w:tc>
      </w:tr>
      <w:tr>
        <w:tblPrEx>
          <w:tblCellMar>
            <w:top w:w="0" w:type="dxa"/>
            <w:left w:w="108" w:type="dxa"/>
            <w:bottom w:w="0" w:type="dxa"/>
            <w:right w:w="108" w:type="dxa"/>
          </w:tblCellMar>
        </w:tblPrEx>
        <w:trPr>
          <w:trHeight w:val="34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6</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耗材监管</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耗材剩余情况可在实验界面实时监管，具有枪头不足提醒功能</w:t>
            </w:r>
          </w:p>
        </w:tc>
      </w:tr>
      <w:tr>
        <w:tblPrEx>
          <w:tblCellMar>
            <w:top w:w="0" w:type="dxa"/>
            <w:left w:w="108" w:type="dxa"/>
            <w:bottom w:w="0" w:type="dxa"/>
            <w:right w:w="108" w:type="dxa"/>
          </w:tblCellMar>
        </w:tblPrEx>
        <w:trPr>
          <w:trHeight w:val="1716" w:hRule="atLeast"/>
        </w:trPr>
        <w:tc>
          <w:tcPr>
            <w:tcW w:w="972" w:type="dxa"/>
            <w:tcBorders>
              <w:top w:val="single" w:color="BDD6EE" w:sz="12" w:space="0"/>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7</w:t>
            </w:r>
          </w:p>
        </w:tc>
        <w:tc>
          <w:tcPr>
            <w:tcW w:w="1920" w:type="dxa"/>
            <w:tcBorders>
              <w:top w:val="single" w:color="BDD6EE" w:sz="12" w:space="0"/>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防污染措施</w:t>
            </w:r>
          </w:p>
        </w:tc>
        <w:tc>
          <w:tcPr>
            <w:tcW w:w="5544" w:type="dxa"/>
            <w:tcBorders>
              <w:top w:val="single" w:color="BDD6EE" w:sz="12" w:space="0"/>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val="en-US"/>
              </w:rPr>
            </w:pPr>
            <w:r>
              <w:rPr>
                <w:rFonts w:hint="default" w:ascii="Times New Roman" w:hAnsi="Times New Roman" w:eastAsia="仿宋_GB2312" w:cs="Times New Roman"/>
                <w:sz w:val="28"/>
                <w:szCs w:val="28"/>
                <w:lang w:val="en-US"/>
              </w:rPr>
              <w:t>（1）加样采用一次性滤芯吸头</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（2）配套高效过滤系统，工作区形成内部负压，连接至实验室通风系统实现外排</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（3）紫外灯灭菌，强度：100μw/cm²</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（4）指定的液体分配移动路线</w:t>
            </w:r>
          </w:p>
        </w:tc>
      </w:tr>
      <w:tr>
        <w:tblPrEx>
          <w:tblCellMar>
            <w:top w:w="0" w:type="dxa"/>
            <w:left w:w="108" w:type="dxa"/>
            <w:bottom w:w="0" w:type="dxa"/>
            <w:right w:w="108" w:type="dxa"/>
          </w:tblCellMar>
        </w:tblPrEx>
        <w:trPr>
          <w:trHeight w:val="306" w:hRule="atLeast"/>
        </w:trPr>
        <w:tc>
          <w:tcPr>
            <w:tcW w:w="972" w:type="dxa"/>
            <w:tcBorders>
              <w:top w:val="single" w:color="BDD6EE" w:sz="12" w:space="0"/>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1</w:t>
            </w:r>
            <w:r>
              <w:rPr>
                <w:rFonts w:hint="default" w:ascii="Times New Roman" w:hAnsi="Times New Roman" w:eastAsia="仿宋_GB2312" w:cs="Times New Roman"/>
                <w:sz w:val="28"/>
                <w:szCs w:val="28"/>
                <w:lang w:val="en-US" w:eastAsia="zh-CN"/>
              </w:rPr>
              <w:t>8</w:t>
            </w:r>
          </w:p>
        </w:tc>
        <w:tc>
          <w:tcPr>
            <w:tcW w:w="1920" w:type="dxa"/>
            <w:tcBorders>
              <w:top w:val="single" w:color="BDD6EE" w:sz="12" w:space="0"/>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安全提醒功能</w:t>
            </w:r>
          </w:p>
        </w:tc>
        <w:tc>
          <w:tcPr>
            <w:tcW w:w="5544" w:type="dxa"/>
            <w:tcBorders>
              <w:top w:val="single" w:color="BDD6EE" w:sz="12" w:space="0"/>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未取到枪头提醒，未扫描条码提醒</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19</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断电保护</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实验过程可从任意步骤继续或开始</w:t>
            </w:r>
          </w:p>
        </w:tc>
      </w:tr>
      <w:tr>
        <w:tblPrEx>
          <w:tblCellMar>
            <w:top w:w="0" w:type="dxa"/>
            <w:left w:w="108" w:type="dxa"/>
            <w:bottom w:w="0" w:type="dxa"/>
            <w:right w:w="108" w:type="dxa"/>
          </w:tblCellMar>
        </w:tblPrEx>
        <w:trPr>
          <w:trHeight w:val="85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0</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★实时监测功能</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配备CCD视觉监控，有效识自动重试未能正确开盖的样本管，自动放回原处；并实时监测样本取样情况，对取样失败或不足的样本，标记对应孔位后继续运行，异常不停机。</w:t>
            </w:r>
          </w:p>
        </w:tc>
      </w:tr>
      <w:tr>
        <w:tblPrEx>
          <w:tblCellMar>
            <w:top w:w="0" w:type="dxa"/>
            <w:left w:w="108" w:type="dxa"/>
            <w:bottom w:w="0" w:type="dxa"/>
            <w:right w:w="108" w:type="dxa"/>
          </w:tblCellMar>
        </w:tblPrEx>
        <w:trPr>
          <w:trHeight w:val="85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1</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条码扫描功能</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样本扫描系统，内置4个独立扫码模块，1D、2D通用;支持2/5Interleaved，Code39，Code128，ENA/UPC,EANAddendun，Codebar，pharmaCode，Code93等多种条码</w:t>
            </w:r>
          </w:p>
        </w:tc>
      </w:tr>
      <w:tr>
        <w:tblPrEx>
          <w:tblCellMar>
            <w:top w:w="0" w:type="dxa"/>
            <w:left w:w="108" w:type="dxa"/>
            <w:bottom w:w="0" w:type="dxa"/>
            <w:right w:w="108" w:type="dxa"/>
          </w:tblCellMar>
        </w:tblPrEx>
        <w:trPr>
          <w:trHeight w:val="306"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2</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程序管理</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实验项目及其参数可自由编辑</w:t>
            </w:r>
          </w:p>
        </w:tc>
      </w:tr>
      <w:tr>
        <w:tblPrEx>
          <w:tblCellMar>
            <w:top w:w="0" w:type="dxa"/>
            <w:left w:w="108" w:type="dxa"/>
            <w:bottom w:w="0" w:type="dxa"/>
            <w:right w:w="108" w:type="dxa"/>
          </w:tblCellMar>
        </w:tblPrEx>
        <w:trPr>
          <w:trHeight w:val="28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3</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内部程序存储</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可储存程序≥20000个</w:t>
            </w:r>
          </w:p>
        </w:tc>
      </w:tr>
      <w:tr>
        <w:tblPrEx>
          <w:tblCellMar>
            <w:top w:w="0" w:type="dxa"/>
            <w:left w:w="108" w:type="dxa"/>
            <w:bottom w:w="0" w:type="dxa"/>
            <w:right w:w="108" w:type="dxa"/>
          </w:tblCellMar>
        </w:tblPrEx>
        <w:trPr>
          <w:trHeight w:val="582"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4</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操作界面</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15.6寸触摸显示屏，采用可翻转隐藏式设计，操作便捷，节省空间</w:t>
            </w:r>
          </w:p>
        </w:tc>
      </w:tr>
      <w:tr>
        <w:tblPrEx>
          <w:tblCellMar>
            <w:top w:w="0" w:type="dxa"/>
            <w:left w:w="108" w:type="dxa"/>
            <w:bottom w:w="0" w:type="dxa"/>
            <w:right w:w="108" w:type="dxa"/>
          </w:tblCellMar>
        </w:tblPrEx>
        <w:trPr>
          <w:trHeight w:val="28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5</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信息接口</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USB，RS232端口，支持LIS系统，可提供API接口</w:t>
            </w:r>
          </w:p>
        </w:tc>
      </w:tr>
      <w:tr>
        <w:tblPrEx>
          <w:tblCellMar>
            <w:top w:w="0" w:type="dxa"/>
            <w:left w:w="108" w:type="dxa"/>
            <w:bottom w:w="0" w:type="dxa"/>
            <w:right w:w="108" w:type="dxa"/>
          </w:tblCellMar>
        </w:tblPrEx>
        <w:trPr>
          <w:trHeight w:val="288" w:hRule="atLeast"/>
        </w:trPr>
        <w:tc>
          <w:tcPr>
            <w:tcW w:w="972" w:type="dxa"/>
            <w:tcBorders>
              <w:top w:val="nil"/>
              <w:left w:val="single" w:color="BDD6EE" w:sz="12" w:space="0"/>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lang w:val="en-US" w:eastAsia="zh-CN"/>
              </w:rPr>
              <w:t>6</w:t>
            </w:r>
          </w:p>
        </w:tc>
        <w:tc>
          <w:tcPr>
            <w:tcW w:w="1920"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运行环境</w:t>
            </w:r>
          </w:p>
        </w:tc>
        <w:tc>
          <w:tcPr>
            <w:tcW w:w="5544" w:type="dxa"/>
            <w:tcBorders>
              <w:top w:val="nil"/>
              <w:left w:val="nil"/>
              <w:bottom w:val="single" w:color="BDD6EE" w:sz="12" w:space="0"/>
              <w:right w:val="single" w:color="BDD6EE"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rPr>
              <w:t>温度：室温-40℃，湿度：15-85%</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说明，中标单位配套附加设备清单如下：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冷藏冰箱2-8度，2台，容积大于等于310L</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低温冰箱</w:t>
      </w:r>
      <w:r>
        <w:rPr>
          <w:rFonts w:hint="eastAsia" w:eastAsia="仿宋_GB2312" w:cs="Times New Roman"/>
          <w:sz w:val="32"/>
          <w:szCs w:val="32"/>
          <w:lang w:val="en-US" w:eastAsia="zh-CN"/>
        </w:rPr>
        <w:t>负</w:t>
      </w:r>
      <w:r>
        <w:rPr>
          <w:rFonts w:hint="default" w:ascii="Times New Roman" w:hAnsi="Times New Roman" w:eastAsia="仿宋_GB2312" w:cs="Times New Roman"/>
          <w:sz w:val="32"/>
          <w:szCs w:val="32"/>
          <w:lang w:val="en-US" w:eastAsia="zh-CN"/>
        </w:rPr>
        <w:t>25度1台</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容积大于等于3</w:t>
      </w:r>
      <w:r>
        <w:rPr>
          <w:rFonts w:hint="eastAsia"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0L</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八连管排枪2支艾本德或赛默飞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加样枪艾本德或赛默飞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100-1000ul3支</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2-10ul3支</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200ul2支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掌上离心机和振荡器2套</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实验椅子8把</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小储物柜3个</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实验室改造：含实验室台面，空调，及空间改造</w:t>
      </w:r>
      <w:r>
        <w:rPr>
          <w:rFonts w:hint="eastAsia" w:ascii="Times New Roman" w:hAnsi="Times New Roman" w:eastAsia="仿宋_GB2312" w:cs="Times New Roman"/>
          <w:sz w:val="32"/>
          <w:szCs w:val="32"/>
          <w:lang w:val="en-US" w:eastAsia="zh-CN"/>
        </w:rPr>
        <w:t>。</w:t>
      </w:r>
    </w:p>
    <w:p>
      <w:pPr>
        <w:pStyle w:val="2"/>
        <w:rPr>
          <w:rFonts w:hint="eastAsia"/>
        </w:rPr>
      </w:pPr>
    </w:p>
    <w:p>
      <w:pPr>
        <w:rPr>
          <w:rFonts w:hint="eastAsia"/>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sz w:val="28"/>
          <w:szCs w:val="28"/>
        </w:rPr>
      </w:pPr>
      <w:r>
        <w:rPr>
          <w:rFonts w:hint="eastAsia" w:ascii="宋体" w:hAnsi="宋体" w:eastAsia="宋体"/>
          <w:sz w:val="28"/>
          <w:szCs w:val="28"/>
          <w:lang w:eastAsia="zh-CN"/>
        </w:rPr>
        <w:t>第三部分</w:t>
      </w:r>
      <w:r>
        <w:rPr>
          <w:rFonts w:hint="eastAsia" w:ascii="宋体" w:hAnsi="宋体" w:eastAsia="宋体"/>
          <w:sz w:val="28"/>
          <w:szCs w:val="28"/>
          <w:lang w:val="en-US" w:eastAsia="zh-CN"/>
        </w:rPr>
        <w:t xml:space="preserve">  </w:t>
      </w:r>
      <w:r>
        <w:rPr>
          <w:rFonts w:hint="eastAsia" w:ascii="宋体" w:hAnsi="宋体" w:eastAsia="宋体"/>
          <w:sz w:val="28"/>
          <w:szCs w:val="28"/>
        </w:rPr>
        <w:t>投标文件（</w:t>
      </w:r>
      <w:r>
        <w:rPr>
          <w:rFonts w:hint="eastAsia" w:ascii="宋体" w:hAnsi="宋体" w:eastAsia="宋体"/>
          <w:sz w:val="28"/>
          <w:szCs w:val="28"/>
          <w:lang w:eastAsia="zh-CN"/>
        </w:rPr>
        <w:t>格</w:t>
      </w:r>
      <w:r>
        <w:rPr>
          <w:rFonts w:hint="eastAsia" w:ascii="宋体" w:hAnsi="宋体" w:eastAsia="宋体"/>
          <w:sz w:val="28"/>
          <w:szCs w:val="28"/>
        </w:rPr>
        <w:t>式）</w:t>
      </w:r>
      <w:bookmarkEnd w:id="20"/>
    </w:p>
    <w:p>
      <w:pPr>
        <w:pageBreakBefore w:val="0"/>
        <w:kinsoku/>
        <w:wordWrap/>
        <w:overflowPunct/>
        <w:topLinePunct w:val="0"/>
        <w:bidi w:val="0"/>
        <w:snapToGrid w:val="0"/>
        <w:spacing w:line="560" w:lineRule="exact"/>
        <w:jc w:val="left"/>
        <w:textAlignment w:val="auto"/>
        <w:rPr>
          <w:b/>
          <w:color w:val="FF0000"/>
          <w:sz w:val="28"/>
          <w:szCs w:val="28"/>
        </w:rPr>
      </w:pPr>
      <w:r>
        <w:rPr>
          <w:rFonts w:hint="eastAsia"/>
          <w:b/>
          <w:color w:val="auto"/>
          <w:sz w:val="28"/>
          <w:szCs w:val="28"/>
        </w:rPr>
        <w:t>供参考，投标人也可按淮北市公共资源交易中心投标文件要求格式编制投标文件</w:t>
      </w:r>
    </w:p>
    <w:p>
      <w:pPr>
        <w:pageBreakBefore w:val="0"/>
        <w:kinsoku/>
        <w:wordWrap/>
        <w:overflowPunct/>
        <w:topLinePunct w:val="0"/>
        <w:bidi w:val="0"/>
        <w:snapToGrid w:val="0"/>
        <w:spacing w:line="560" w:lineRule="exact"/>
        <w:jc w:val="center"/>
        <w:textAlignment w:val="auto"/>
        <w:rPr>
          <w:rFonts w:hint="eastAsia" w:ascii="宋体" w:hAnsi="宋体"/>
          <w:sz w:val="52"/>
          <w:szCs w:val="52"/>
        </w:rPr>
      </w:pPr>
    </w:p>
    <w:p>
      <w:pPr>
        <w:pageBreakBefore w:val="0"/>
        <w:kinsoku/>
        <w:wordWrap/>
        <w:overflowPunct/>
        <w:topLinePunct w:val="0"/>
        <w:bidi w:val="0"/>
        <w:snapToGrid w:val="0"/>
        <w:spacing w:line="560" w:lineRule="exact"/>
        <w:jc w:val="center"/>
        <w:textAlignment w:val="auto"/>
        <w:rPr>
          <w:rFonts w:ascii="宋体" w:hAnsi="宋体"/>
          <w:sz w:val="36"/>
          <w:szCs w:val="36"/>
        </w:rPr>
      </w:pPr>
      <w:r>
        <w:rPr>
          <w:rFonts w:hint="default" w:ascii="Times New Roman" w:hAnsi="Times New Roman" w:eastAsia="仿宋_GB2312" w:cs="Times New Roman"/>
          <w:sz w:val="36"/>
          <w:szCs w:val="36"/>
        </w:rPr>
        <w:t>淮北市</w:t>
      </w:r>
      <w:r>
        <w:rPr>
          <w:rFonts w:hint="default" w:ascii="Times New Roman" w:hAnsi="Times New Roman" w:eastAsia="仿宋_GB2312" w:cs="Times New Roman"/>
          <w:sz w:val="36"/>
          <w:szCs w:val="36"/>
          <w:lang w:eastAsia="zh-CN"/>
        </w:rPr>
        <w:t>第四人民医院</w:t>
      </w:r>
      <w:r>
        <w:rPr>
          <w:rFonts w:hint="default" w:ascii="Times New Roman" w:hAnsi="Times New Roman" w:eastAsia="仿宋_GB2312" w:cs="Times New Roman"/>
          <w:sz w:val="36"/>
          <w:szCs w:val="36"/>
          <w:lang w:val="en-US" w:eastAsia="zh-CN"/>
        </w:rPr>
        <w:t>核酸检测能力提升主要设备采购项目</w:t>
      </w:r>
      <w:r>
        <w:rPr>
          <w:rFonts w:hint="eastAsia" w:ascii="宋体" w:hAnsi="宋体"/>
          <w:sz w:val="36"/>
          <w:szCs w:val="36"/>
        </w:rPr>
        <w:t>投标文件</w:t>
      </w:r>
    </w:p>
    <w:p>
      <w:pPr>
        <w:pageBreakBefore w:val="0"/>
        <w:kinsoku/>
        <w:wordWrap/>
        <w:overflowPunct/>
        <w:topLinePunct w:val="0"/>
        <w:bidi w:val="0"/>
        <w:snapToGrid w:val="0"/>
        <w:spacing w:line="560" w:lineRule="exact"/>
        <w:jc w:val="center"/>
        <w:textAlignment w:val="auto"/>
        <w:rPr>
          <w:b/>
          <w:sz w:val="32"/>
          <w:szCs w:val="32"/>
        </w:rPr>
      </w:pPr>
    </w:p>
    <w:p>
      <w:pPr>
        <w:pageBreakBefore w:val="0"/>
        <w:kinsoku/>
        <w:wordWrap/>
        <w:overflowPunct/>
        <w:topLinePunct w:val="0"/>
        <w:bidi w:val="0"/>
        <w:snapToGrid w:val="0"/>
        <w:spacing w:line="560" w:lineRule="exact"/>
        <w:jc w:val="center"/>
        <w:textAlignment w:val="auto"/>
        <w:rPr>
          <w:b/>
          <w:sz w:val="32"/>
          <w:szCs w:val="32"/>
        </w:rPr>
      </w:pPr>
      <w:r>
        <w:rPr>
          <w:rFonts w:hint="eastAsia"/>
          <w:b/>
          <w:sz w:val="32"/>
          <w:szCs w:val="32"/>
        </w:rPr>
        <w:t>项目</w:t>
      </w:r>
      <w:r>
        <w:rPr>
          <w:b/>
          <w:sz w:val="32"/>
          <w:szCs w:val="32"/>
        </w:rPr>
        <w:t>编号：</w:t>
      </w:r>
      <w:r>
        <w:rPr>
          <w:rFonts w:hint="eastAsia"/>
          <w:b/>
          <w:sz w:val="32"/>
          <w:szCs w:val="32"/>
        </w:rPr>
        <w:t>XXX</w:t>
      </w:r>
    </w:p>
    <w:p>
      <w:pPr>
        <w:pageBreakBefore w:val="0"/>
        <w:kinsoku/>
        <w:wordWrap/>
        <w:overflowPunct/>
        <w:topLinePunct w:val="0"/>
        <w:bidi w:val="0"/>
        <w:snapToGrid w:val="0"/>
        <w:spacing w:line="560" w:lineRule="exact"/>
        <w:jc w:val="center"/>
        <w:textAlignment w:val="auto"/>
        <w:rPr>
          <w:rFonts w:ascii="宋体" w:hAnsi="宋体"/>
          <w:b/>
          <w:bCs/>
          <w:kern w:val="0"/>
          <w:sz w:val="36"/>
          <w:szCs w:val="36"/>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r>
        <w:rPr>
          <w:rFonts w:hint="eastAsia" w:ascii="宋体" w:hAnsi="宋体"/>
          <w:b/>
          <w:bCs/>
          <w:kern w:val="0"/>
          <w:sz w:val="30"/>
          <w:szCs w:val="30"/>
        </w:rPr>
        <w:t>投 标 人：</w:t>
      </w: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r>
        <w:rPr>
          <w:rFonts w:hint="eastAsia" w:ascii="宋体" w:hAnsi="宋体"/>
          <w:b/>
          <w:bCs/>
          <w:kern w:val="0"/>
          <w:sz w:val="30"/>
          <w:szCs w:val="30"/>
        </w:rPr>
        <w:t>联系电话：</w:t>
      </w: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r>
        <w:rPr>
          <w:rFonts w:hint="eastAsia" w:ascii="宋体" w:hAnsi="宋体"/>
          <w:b/>
          <w:bCs/>
          <w:kern w:val="0"/>
          <w:sz w:val="30"/>
          <w:szCs w:val="30"/>
        </w:rPr>
        <w:t>联系邮箱：</w:t>
      </w: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p>
    <w:p>
      <w:pPr>
        <w:pageBreakBefore w:val="0"/>
        <w:kinsoku/>
        <w:wordWrap/>
        <w:overflowPunct/>
        <w:topLinePunct w:val="0"/>
        <w:bidi w:val="0"/>
        <w:snapToGrid w:val="0"/>
        <w:spacing w:line="560" w:lineRule="exact"/>
        <w:jc w:val="center"/>
        <w:textAlignment w:val="auto"/>
        <w:rPr>
          <w:rFonts w:ascii="宋体" w:hAnsi="宋体"/>
          <w:b/>
          <w:bCs/>
          <w:kern w:val="0"/>
          <w:sz w:val="30"/>
          <w:szCs w:val="30"/>
        </w:rPr>
      </w:pPr>
      <w:r>
        <w:rPr>
          <w:rFonts w:hint="eastAsia"/>
          <w:b/>
          <w:bCs/>
          <w:sz w:val="30"/>
          <w:lang w:val="en-US" w:eastAsia="zh-CN" w:bidi="he-IL"/>
        </w:rPr>
        <w:t xml:space="preserve">                                   </w:t>
      </w:r>
      <w:r>
        <w:rPr>
          <w:b/>
          <w:bCs/>
          <w:sz w:val="30"/>
          <w:lang w:bidi="he-IL"/>
        </w:rPr>
        <w:t>年</w:t>
      </w:r>
      <w:r>
        <w:rPr>
          <w:rFonts w:hint="eastAsia"/>
          <w:b/>
          <w:bCs/>
          <w:sz w:val="30"/>
          <w:lang w:val="en-US" w:eastAsia="zh-CN" w:bidi="he-IL"/>
        </w:rPr>
        <w:t xml:space="preserve">   </w:t>
      </w:r>
      <w:r>
        <w:rPr>
          <w:b/>
          <w:bCs/>
          <w:sz w:val="30"/>
          <w:lang w:bidi="he-IL"/>
        </w:rPr>
        <w:t>月</w:t>
      </w:r>
      <w:r>
        <w:rPr>
          <w:rFonts w:hint="eastAsia"/>
          <w:b/>
          <w:bCs/>
          <w:sz w:val="30"/>
          <w:lang w:val="en-US" w:eastAsia="zh-CN" w:bidi="he-IL"/>
        </w:rPr>
        <w:t xml:space="preserve">  </w:t>
      </w:r>
      <w:r>
        <w:rPr>
          <w:rFonts w:hint="eastAsia"/>
          <w:b/>
          <w:bCs/>
          <w:sz w:val="30"/>
          <w:lang w:bidi="he-IL"/>
        </w:rPr>
        <w:t>日</w:t>
      </w:r>
    </w:p>
    <w:p>
      <w:pPr>
        <w:pageBreakBefore w:val="0"/>
        <w:kinsoku/>
        <w:wordWrap/>
        <w:overflowPunct/>
        <w:topLinePunct w:val="0"/>
        <w:bidi w:val="0"/>
        <w:snapToGrid w:val="0"/>
        <w:spacing w:line="560" w:lineRule="exact"/>
        <w:jc w:val="center"/>
        <w:textAlignment w:val="auto"/>
        <w:rPr>
          <w:rFonts w:hint="eastAsia"/>
          <w:b/>
          <w:sz w:val="36"/>
          <w:szCs w:val="36"/>
        </w:rPr>
      </w:pPr>
    </w:p>
    <w:p>
      <w:pPr>
        <w:pageBreakBefore w:val="0"/>
        <w:kinsoku/>
        <w:wordWrap/>
        <w:overflowPunct/>
        <w:topLinePunct w:val="0"/>
        <w:bidi w:val="0"/>
        <w:snapToGrid w:val="0"/>
        <w:spacing w:line="560" w:lineRule="exact"/>
        <w:jc w:val="center"/>
        <w:textAlignment w:val="auto"/>
        <w:rPr>
          <w:rFonts w:hint="eastAsia"/>
          <w:b/>
          <w:sz w:val="36"/>
          <w:szCs w:val="36"/>
        </w:rPr>
      </w:pPr>
    </w:p>
    <w:p>
      <w:pPr>
        <w:pageBreakBefore w:val="0"/>
        <w:kinsoku/>
        <w:wordWrap/>
        <w:overflowPunct/>
        <w:topLinePunct w:val="0"/>
        <w:bidi w:val="0"/>
        <w:snapToGrid w:val="0"/>
        <w:spacing w:line="560" w:lineRule="exact"/>
        <w:jc w:val="center"/>
        <w:textAlignment w:val="auto"/>
        <w:rPr>
          <w:rFonts w:hint="eastAsia"/>
          <w:b/>
          <w:sz w:val="36"/>
          <w:szCs w:val="36"/>
        </w:rPr>
      </w:pPr>
    </w:p>
    <w:p>
      <w:pPr>
        <w:pageBreakBefore w:val="0"/>
        <w:kinsoku/>
        <w:wordWrap/>
        <w:overflowPunct/>
        <w:topLinePunct w:val="0"/>
        <w:bidi w:val="0"/>
        <w:snapToGrid w:val="0"/>
        <w:spacing w:line="560" w:lineRule="exact"/>
        <w:jc w:val="center"/>
        <w:textAlignment w:val="auto"/>
        <w:rPr>
          <w:b/>
          <w:sz w:val="36"/>
          <w:szCs w:val="36"/>
        </w:rPr>
      </w:pPr>
      <w:r>
        <w:rPr>
          <w:rFonts w:hint="eastAsia"/>
          <w:b/>
          <w:sz w:val="36"/>
          <w:szCs w:val="36"/>
        </w:rPr>
        <w:t>目    录</w:t>
      </w: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p>
    <w:p>
      <w:pPr>
        <w:pageBreakBefore w:val="0"/>
        <w:kinsoku/>
        <w:wordWrap/>
        <w:overflowPunct/>
        <w:topLinePunct w:val="0"/>
        <w:bidi w:val="0"/>
        <w:snapToGrid w:val="0"/>
        <w:spacing w:line="560" w:lineRule="exact"/>
        <w:textAlignment w:val="auto"/>
        <w:rPr>
          <w:rFonts w:ascii="宋体" w:hAnsi="宋体"/>
          <w:sz w:val="24"/>
          <w:szCs w:val="24"/>
        </w:rPr>
      </w:pPr>
      <w:r>
        <w:rPr>
          <w:rFonts w:ascii="宋体" w:hAnsi="宋体"/>
          <w:sz w:val="24"/>
          <w:szCs w:val="24"/>
        </w:rPr>
        <w:t>投标承诺书</w:t>
      </w:r>
    </w:p>
    <w:p>
      <w:pPr>
        <w:pageBreakBefore w:val="0"/>
        <w:kinsoku/>
        <w:wordWrap/>
        <w:overflowPunct/>
        <w:topLinePunct w:val="0"/>
        <w:bidi w:val="0"/>
        <w:snapToGrid w:val="0"/>
        <w:spacing w:line="560" w:lineRule="exact"/>
        <w:textAlignment w:val="auto"/>
        <w:rPr>
          <w:rFonts w:ascii="宋体" w:hAnsi="宋体"/>
          <w:sz w:val="24"/>
          <w:szCs w:val="24"/>
        </w:rPr>
      </w:pPr>
      <w:r>
        <w:rPr>
          <w:rFonts w:ascii="宋体" w:hAnsi="宋体"/>
          <w:sz w:val="24"/>
          <w:szCs w:val="24"/>
        </w:rPr>
        <w:t>投标报价表</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分项</w:t>
      </w:r>
      <w:r>
        <w:rPr>
          <w:rFonts w:ascii="宋体" w:hAnsi="宋体"/>
          <w:sz w:val="24"/>
          <w:szCs w:val="24"/>
        </w:rPr>
        <w:t>报价表</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技术参数</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资质证件</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授权书</w:t>
      </w:r>
    </w:p>
    <w:p>
      <w:pPr>
        <w:pageBreakBefore w:val="0"/>
        <w:kinsoku/>
        <w:wordWrap/>
        <w:overflowPunct/>
        <w:topLinePunct w:val="0"/>
        <w:bidi w:val="0"/>
        <w:snapToGrid w:val="0"/>
        <w:spacing w:line="560" w:lineRule="exact"/>
        <w:textAlignment w:val="auto"/>
        <w:rPr>
          <w:rFonts w:ascii="宋体" w:hAnsi="宋体"/>
          <w:sz w:val="24"/>
          <w:szCs w:val="24"/>
        </w:rPr>
      </w:pPr>
      <w:r>
        <w:rPr>
          <w:rFonts w:ascii="宋体" w:hAnsi="宋体"/>
          <w:sz w:val="24"/>
          <w:szCs w:val="24"/>
        </w:rPr>
        <w:t>售后服务</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维保方案</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业绩材料</w:t>
      </w:r>
    </w:p>
    <w:p>
      <w:pPr>
        <w:pageBreakBefore w:val="0"/>
        <w:kinsoku/>
        <w:wordWrap/>
        <w:overflowPunct/>
        <w:topLinePunct w:val="0"/>
        <w:bidi w:val="0"/>
        <w:snapToGrid w:val="0"/>
        <w:spacing w:line="560" w:lineRule="exact"/>
        <w:textAlignment w:val="auto"/>
        <w:rPr>
          <w:rFonts w:ascii="宋体" w:hAnsi="宋体"/>
          <w:sz w:val="24"/>
          <w:szCs w:val="24"/>
        </w:rPr>
      </w:pPr>
      <w:r>
        <w:rPr>
          <w:rFonts w:hint="eastAsia" w:ascii="宋体" w:hAnsi="宋体"/>
          <w:sz w:val="24"/>
          <w:szCs w:val="24"/>
        </w:rPr>
        <w:t>产品介绍</w:t>
      </w: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23" w:name="_Toc12372852"/>
      <w:bookmarkStart w:id="24" w:name="_Toc1407343"/>
      <w:bookmarkStart w:id="25" w:name="_Toc2580371"/>
      <w:bookmarkStart w:id="26" w:name="_Toc2580731"/>
      <w:r>
        <w:rPr>
          <w:rFonts w:ascii="宋体" w:hAnsi="宋体" w:eastAsia="宋体"/>
        </w:rPr>
        <w:t>投标承诺书</w:t>
      </w:r>
      <w:bookmarkEnd w:id="23"/>
      <w:bookmarkEnd w:id="24"/>
      <w:bookmarkEnd w:id="25"/>
      <w:bookmarkEnd w:id="26"/>
    </w:p>
    <w:p>
      <w:pPr>
        <w:pStyle w:val="10"/>
        <w:pageBreakBefore w:val="0"/>
        <w:kinsoku/>
        <w:wordWrap/>
        <w:overflowPunct/>
        <w:topLinePunct w:val="0"/>
        <w:bidi w:val="0"/>
        <w:snapToGrid w:val="0"/>
        <w:spacing w:line="560" w:lineRule="exact"/>
        <w:textAlignment w:val="auto"/>
        <w:rPr>
          <w:rFonts w:hint="eastAsia" w:ascii="宋体" w:hAnsi="宋体" w:eastAsia="宋体"/>
          <w:b w:val="0"/>
          <w:sz w:val="24"/>
          <w:szCs w:val="24"/>
          <w:lang w:eastAsia="zh-CN"/>
        </w:rPr>
      </w:pPr>
      <w:r>
        <w:rPr>
          <w:rFonts w:hint="eastAsia" w:ascii="宋体" w:hAnsi="宋体" w:eastAsia="宋体"/>
          <w:b w:val="0"/>
          <w:sz w:val="24"/>
          <w:szCs w:val="24"/>
          <w:lang w:eastAsia="zh-CN"/>
        </w:rPr>
        <w:t>淮北市第四人民医院：</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根据你院招标公告，我单位正式授权</w:t>
      </w:r>
      <w:r>
        <w:rPr>
          <w:rFonts w:hint="eastAsia" w:ascii="宋体" w:hAnsi="宋体" w:eastAsia="宋体"/>
          <w:b w:val="0"/>
          <w:sz w:val="24"/>
          <w:szCs w:val="24"/>
          <w:u w:val="single"/>
        </w:rPr>
        <w:t xml:space="preserve"> X X X </w:t>
      </w:r>
      <w:r>
        <w:rPr>
          <w:rFonts w:hint="eastAsia" w:ascii="宋体" w:hAnsi="宋体" w:eastAsia="宋体"/>
          <w:b w:val="0"/>
          <w:sz w:val="24"/>
          <w:szCs w:val="24"/>
        </w:rPr>
        <w:t>代表我单位参加你院组织的</w:t>
      </w:r>
      <w:r>
        <w:rPr>
          <w:rFonts w:hint="eastAsia" w:ascii="宋体" w:hAnsi="宋体" w:eastAsia="宋体"/>
          <w:b w:val="0"/>
          <w:sz w:val="24"/>
          <w:szCs w:val="24"/>
          <w:u w:val="single"/>
        </w:rPr>
        <w:t xml:space="preserve"> X X X采购项目 </w:t>
      </w:r>
      <w:r>
        <w:rPr>
          <w:rFonts w:hint="eastAsia" w:ascii="宋体" w:hAnsi="宋体" w:eastAsia="宋体"/>
          <w:b w:val="0"/>
          <w:sz w:val="24"/>
          <w:szCs w:val="24"/>
        </w:rPr>
        <w:t>并全权处理本项目招投标的有关事宜。在参加该项目招投标过程中，本单位及所属员工郑重承诺：</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一、将遵循诚实信用的原则，自愿参加该项目的投标；</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二、所提供的一切材料都是真实、有效、合法的，所供产品为正规渠道产品并符合国家相关标准；</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三、不出借、转让资质证书，让他人挂靠投标，不以他人名义投标或者以其他方式弄虚作假，骗取中标；</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四、不与其他投标人相互串通投标报价，不排挤其他投标人的公平竞争、损害其合法权益；</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五、不与招标人或者招标代理机构串通投标，损害国家利益、社会公共利益或者他人的合法权益；</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六、不以违法违规行为牟取中标；</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七、保证中标后不转包，保证提供相关产品授权并及时供货，否则愿意承担 “不诚信名单”等处罚；</w:t>
      </w:r>
    </w:p>
    <w:p>
      <w:pPr>
        <w:pageBreakBefore w:val="0"/>
        <w:kinsoku/>
        <w:wordWrap/>
        <w:overflowPunct/>
        <w:topLinePunct w:val="0"/>
        <w:bidi w:val="0"/>
        <w:snapToGrid w:val="0"/>
        <w:spacing w:line="560" w:lineRule="exact"/>
        <w:ind w:firstLine="480" w:firstLineChars="200"/>
        <w:textAlignment w:val="auto"/>
        <w:rPr>
          <w:rFonts w:ascii="宋体" w:hAnsi="宋体"/>
          <w:bCs/>
          <w:sz w:val="24"/>
        </w:rPr>
      </w:pPr>
      <w:r>
        <w:rPr>
          <w:rFonts w:hint="eastAsia" w:ascii="宋体" w:hAnsi="宋体"/>
          <w:bCs/>
          <w:sz w:val="24"/>
        </w:rPr>
        <w:t>八、保证</w:t>
      </w:r>
      <w:r>
        <w:rPr>
          <w:rFonts w:ascii="宋体" w:hAnsi="宋体"/>
          <w:bCs/>
          <w:sz w:val="24"/>
        </w:rPr>
        <w:t>前三年内，本公司在经营活动中没有重大违法记录，没有因违法经营受到刑事处罚或者责令停产停业、吊销许可证或者执照、较大数额罚款等行政处罚</w:t>
      </w:r>
      <w:r>
        <w:rPr>
          <w:rFonts w:hint="eastAsia" w:ascii="宋体" w:hAnsi="宋体"/>
          <w:bCs/>
          <w:sz w:val="24"/>
        </w:rPr>
        <w:t>；</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九、我方将按照招标文件规定的各项要求，制定投标文件，并在招标公告要求的时限内送交投标文件；</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十、一旦我方中标，我方将严格履行合同规定的责任和义务，保证在合同约定的时间内完成本项目的施工、安装、调试，并交付你院验收、使用；</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十一、我方将按要求提供投标文件，同时接受因招标文件不符合要求造成的投标被否决或废标；</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十二、我方愿意提供你院可能另外要求的、与投标有关的文件资料，并保证我方已提供和将要提供的文件是真实的、准确的；</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十三、我方完全理解你院不一定将合同授予最低报价的投标人；</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十四、如有质疑投诉，按照有关规定要求提出。质疑投诉内容符合要求并附有关证明材料。</w:t>
      </w:r>
    </w:p>
    <w:p>
      <w:pPr>
        <w:pStyle w:val="10"/>
        <w:pageBreakBefore w:val="0"/>
        <w:kinsoku/>
        <w:wordWrap/>
        <w:overflowPunct/>
        <w:topLinePunct w:val="0"/>
        <w:bidi w:val="0"/>
        <w:snapToGrid w:val="0"/>
        <w:spacing w:line="560" w:lineRule="exact"/>
        <w:ind w:firstLine="480" w:firstLineChars="200"/>
        <w:textAlignment w:val="auto"/>
        <w:rPr>
          <w:rFonts w:ascii="宋体" w:hAnsi="宋体" w:eastAsia="宋体"/>
          <w:b w:val="0"/>
          <w:sz w:val="24"/>
          <w:szCs w:val="24"/>
        </w:rPr>
      </w:pPr>
      <w:r>
        <w:rPr>
          <w:rFonts w:hint="eastAsia" w:ascii="宋体" w:hAnsi="宋体" w:eastAsia="宋体"/>
          <w:b w:val="0"/>
          <w:sz w:val="24"/>
          <w:szCs w:val="24"/>
        </w:rPr>
        <w:t>以上内容我已仔细阅读并认可，本公司若有违反承诺内容的行为，自愿接受取消投标资格、记入信用档案、没收投标保证金等有关处理，愿意承担相应法律责任。如已中标的，自动放弃中标资格；给你院造成损失的，依法承担相应责任。</w:t>
      </w:r>
    </w:p>
    <w:p>
      <w:pPr>
        <w:pageBreakBefore w:val="0"/>
        <w:kinsoku/>
        <w:wordWrap/>
        <w:overflowPunct/>
        <w:topLinePunct w:val="0"/>
        <w:bidi w:val="0"/>
        <w:snapToGrid w:val="0"/>
        <w:spacing w:line="560" w:lineRule="exact"/>
        <w:textAlignment w:val="auto"/>
      </w:pPr>
    </w:p>
    <w:p>
      <w:pPr>
        <w:pStyle w:val="10"/>
        <w:pageBreakBefore w:val="0"/>
        <w:kinsoku/>
        <w:wordWrap/>
        <w:overflowPunct/>
        <w:topLinePunct w:val="0"/>
        <w:bidi w:val="0"/>
        <w:snapToGrid w:val="0"/>
        <w:spacing w:line="560" w:lineRule="exact"/>
        <w:textAlignment w:val="auto"/>
        <w:rPr>
          <w:rFonts w:ascii="宋体" w:hAnsi="宋体" w:eastAsia="宋体"/>
          <w:b w:val="0"/>
          <w:sz w:val="24"/>
          <w:szCs w:val="24"/>
        </w:rPr>
      </w:pPr>
      <w:r>
        <w:rPr>
          <w:rFonts w:hint="eastAsia" w:ascii="宋体" w:hAnsi="宋体" w:eastAsia="宋体"/>
          <w:b w:val="0"/>
          <w:sz w:val="24"/>
          <w:szCs w:val="24"/>
        </w:rPr>
        <w:t>投标单位（加盖公章）：               法定代表人（签字或盖章）：</w:t>
      </w:r>
    </w:p>
    <w:p>
      <w:pPr>
        <w:pageBreakBefore w:val="0"/>
        <w:kinsoku/>
        <w:wordWrap/>
        <w:overflowPunct/>
        <w:topLinePunct w:val="0"/>
        <w:bidi w:val="0"/>
        <w:snapToGrid w:val="0"/>
        <w:spacing w:line="560" w:lineRule="exact"/>
        <w:textAlignment w:val="auto"/>
      </w:pPr>
    </w:p>
    <w:p>
      <w:pPr>
        <w:pageBreakBefore w:val="0"/>
        <w:kinsoku/>
        <w:wordWrap/>
        <w:overflowPunct/>
        <w:topLinePunct w:val="0"/>
        <w:bidi w:val="0"/>
        <w:snapToGrid w:val="0"/>
        <w:spacing w:line="560" w:lineRule="exact"/>
        <w:textAlignment w:val="auto"/>
      </w:pPr>
    </w:p>
    <w:p>
      <w:pPr>
        <w:pStyle w:val="10"/>
        <w:pageBreakBefore w:val="0"/>
        <w:kinsoku/>
        <w:wordWrap/>
        <w:overflowPunct/>
        <w:topLinePunct w:val="0"/>
        <w:bidi w:val="0"/>
        <w:snapToGrid w:val="0"/>
        <w:spacing w:line="560" w:lineRule="exact"/>
        <w:textAlignment w:val="auto"/>
        <w:rPr>
          <w:rFonts w:ascii="宋体" w:hAnsi="宋体" w:eastAsia="宋体"/>
          <w:b w:val="0"/>
          <w:sz w:val="24"/>
          <w:szCs w:val="24"/>
        </w:rPr>
      </w:pPr>
      <w:r>
        <w:rPr>
          <w:rFonts w:hint="eastAsia" w:ascii="宋体" w:hAnsi="宋体" w:eastAsia="宋体"/>
          <w:b w:val="0"/>
          <w:sz w:val="24"/>
          <w:szCs w:val="24"/>
        </w:rPr>
        <w:t xml:space="preserve">联系电话：                              年    月    日 </w:t>
      </w:r>
    </w:p>
    <w:p>
      <w:pPr>
        <w:pageBreakBefore w:val="0"/>
        <w:kinsoku/>
        <w:wordWrap/>
        <w:overflowPunct/>
        <w:topLinePunct w:val="0"/>
        <w:bidi w:val="0"/>
        <w:snapToGrid w:val="0"/>
        <w:spacing w:line="560" w:lineRule="exact"/>
        <w:textAlignment w:val="auto"/>
      </w:pPr>
    </w:p>
    <w:p>
      <w:pPr>
        <w:pageBreakBefore w:val="0"/>
        <w:kinsoku/>
        <w:wordWrap/>
        <w:overflowPunct/>
        <w:topLinePunct w:val="0"/>
        <w:bidi w:val="0"/>
        <w:snapToGrid w:val="0"/>
        <w:spacing w:line="560" w:lineRule="exact"/>
        <w:textAlignment w:val="auto"/>
      </w:pPr>
    </w:p>
    <w:p>
      <w:pPr>
        <w:pStyle w:val="2"/>
      </w:pPr>
    </w:p>
    <w:p>
      <w:pPr>
        <w:pStyle w:val="2"/>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27" w:name="_Toc2580732"/>
      <w:bookmarkStart w:id="28" w:name="_Toc12372853"/>
      <w:bookmarkStart w:id="29" w:name="_Toc1407344"/>
      <w:bookmarkStart w:id="30" w:name="_Toc2580372"/>
      <w:r>
        <w:rPr>
          <w:rFonts w:ascii="宋体" w:hAnsi="宋体" w:eastAsia="宋体"/>
        </w:rPr>
        <w:t>投标报价表</w:t>
      </w:r>
      <w:bookmarkEnd w:id="27"/>
      <w:bookmarkEnd w:id="28"/>
      <w:bookmarkEnd w:id="29"/>
      <w:bookmarkEnd w:id="30"/>
    </w:p>
    <w:p>
      <w:pPr>
        <w:pageBreakBefore w:val="0"/>
        <w:kinsoku/>
        <w:wordWrap/>
        <w:overflowPunct/>
        <w:topLinePunct w:val="0"/>
        <w:bidi w:val="0"/>
        <w:snapToGrid w:val="0"/>
        <w:spacing w:line="560" w:lineRule="exact"/>
        <w:textAlignment w:val="auto"/>
        <w:rPr>
          <w:rFonts w:ascii="宋体" w:hAnsi="宋体"/>
          <w:sz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序号</w:t>
            </w:r>
          </w:p>
        </w:tc>
        <w:tc>
          <w:tcPr>
            <w:tcW w:w="19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产地</w:t>
            </w:r>
          </w:p>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品牌</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规格/型号</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数量</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合计</w:t>
            </w:r>
            <w:r>
              <w:rPr>
                <w:rFonts w:hint="eastAsia" w:ascii="宋体" w:hAnsi="宋体"/>
                <w:sz w:val="24"/>
              </w:rPr>
              <w:t>（元）</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1</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2</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gridSpan w:val="8"/>
          </w:tcPr>
          <w:p>
            <w:pPr>
              <w:pageBreakBefore w:val="0"/>
              <w:kinsoku/>
              <w:wordWrap/>
              <w:overflowPunct/>
              <w:topLinePunct w:val="0"/>
              <w:bidi w:val="0"/>
              <w:snapToGrid w:val="0"/>
              <w:spacing w:line="560" w:lineRule="exact"/>
              <w:textAlignment w:val="auto"/>
              <w:rPr>
                <w:rFonts w:ascii="宋体" w:hAnsi="宋体"/>
                <w:sz w:val="24"/>
              </w:rPr>
            </w:pPr>
            <w:r>
              <w:rPr>
                <w:rFonts w:hint="eastAsia" w:ascii="宋体" w:hAnsi="宋体"/>
                <w:sz w:val="24"/>
              </w:rPr>
              <w:t>总计金额：         元（大写：）</w:t>
            </w:r>
          </w:p>
        </w:tc>
      </w:tr>
    </w:tbl>
    <w:p>
      <w:pPr>
        <w:pageBreakBefore w:val="0"/>
        <w:kinsoku/>
        <w:wordWrap/>
        <w:overflowPunct/>
        <w:topLinePunct w:val="0"/>
        <w:bidi w:val="0"/>
        <w:snapToGrid w:val="0"/>
        <w:spacing w:line="560" w:lineRule="exact"/>
        <w:textAlignment w:val="auto"/>
        <w:rPr>
          <w:rFonts w:ascii="宋体" w:hAnsi="宋体"/>
          <w:b/>
          <w:sz w:val="24"/>
        </w:rPr>
      </w:pPr>
      <w:r>
        <w:rPr>
          <w:rFonts w:ascii="宋体" w:hAnsi="宋体"/>
          <w:sz w:val="24"/>
        </w:rPr>
        <w:t xml:space="preserve">(投标单位加盖公章)  </w:t>
      </w: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r>
        <w:rPr>
          <w:rFonts w:hint="eastAsia" w:ascii="宋体" w:hAnsi="宋体"/>
          <w:b/>
          <w:sz w:val="24"/>
        </w:rPr>
        <w:t>到货安装期：</w:t>
      </w:r>
      <w:r>
        <w:rPr>
          <w:rFonts w:hint="eastAsia" w:ascii="宋体" w:hAnsi="宋体"/>
          <w:b/>
          <w:sz w:val="24"/>
          <w:u w:val="single"/>
        </w:rPr>
        <w:t xml:space="preserve">     </w:t>
      </w:r>
      <w:r>
        <w:rPr>
          <w:rFonts w:hint="eastAsia" w:ascii="宋体" w:hAnsi="宋体"/>
          <w:b/>
          <w:sz w:val="24"/>
        </w:rPr>
        <w:t>日历日</w:t>
      </w: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r>
        <w:rPr>
          <w:rFonts w:hint="eastAsia" w:ascii="宋体" w:hAnsi="宋体"/>
          <w:b/>
          <w:sz w:val="24"/>
        </w:rPr>
        <w:t>设备质保期：</w:t>
      </w:r>
      <w:r>
        <w:rPr>
          <w:rFonts w:hint="eastAsia" w:ascii="宋体" w:hAnsi="宋体"/>
          <w:b/>
          <w:sz w:val="24"/>
          <w:u w:val="single"/>
        </w:rPr>
        <w:t xml:space="preserve">     </w:t>
      </w:r>
      <w:r>
        <w:rPr>
          <w:rFonts w:hint="eastAsia" w:ascii="宋体" w:hAnsi="宋体"/>
          <w:b/>
          <w:sz w:val="24"/>
        </w:rPr>
        <w:t>年</w:t>
      </w: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b/>
          <w:sz w:val="24"/>
        </w:rPr>
      </w:pPr>
      <w:r>
        <w:rPr>
          <w:rFonts w:hint="eastAsia" w:ascii="宋体" w:hAnsi="宋体"/>
          <w:b/>
          <w:sz w:val="24"/>
        </w:rPr>
        <w:t>维修（质保）响应到达现场时间：</w:t>
      </w: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rFonts w:ascii="宋体" w:hAnsi="宋体"/>
          <w:sz w:val="24"/>
        </w:rPr>
      </w:pPr>
      <w:r>
        <w:rPr>
          <w:rFonts w:hint="eastAsia" w:ascii="宋体" w:hAnsi="宋体"/>
          <w:b/>
          <w:sz w:val="24"/>
        </w:rPr>
        <w:t>故障解决时间：</w:t>
      </w:r>
    </w:p>
    <w:p>
      <w:pPr>
        <w:pageBreakBefore w:val="0"/>
        <w:kinsoku/>
        <w:wordWrap/>
        <w:overflowPunct/>
        <w:topLinePunct w:val="0"/>
        <w:bidi w:val="0"/>
        <w:snapToGrid w:val="0"/>
        <w:spacing w:line="560" w:lineRule="exact"/>
        <w:textAlignment w:val="auto"/>
        <w:rPr>
          <w:rFonts w:ascii="宋体" w:hAnsi="宋体"/>
          <w:b/>
          <w:sz w:val="24"/>
        </w:rPr>
      </w:pPr>
    </w:p>
    <w:p>
      <w:pPr>
        <w:pageBreakBefore w:val="0"/>
        <w:kinsoku/>
        <w:wordWrap/>
        <w:overflowPunct/>
        <w:topLinePunct w:val="0"/>
        <w:bidi w:val="0"/>
        <w:snapToGrid w:val="0"/>
        <w:spacing w:line="560" w:lineRule="exact"/>
        <w:textAlignment w:val="auto"/>
        <w:rPr>
          <w:sz w:val="24"/>
        </w:rPr>
      </w:pPr>
      <w:r>
        <w:rPr>
          <w:rFonts w:hint="eastAsia" w:ascii="宋体" w:hAnsi="宋体"/>
          <w:b/>
          <w:sz w:val="24"/>
        </w:rPr>
        <w:t>联系电话：</w:t>
      </w: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31" w:name="_Toc2580733"/>
      <w:bookmarkStart w:id="32" w:name="_Toc2580373"/>
      <w:bookmarkStart w:id="33" w:name="_Toc1407345"/>
      <w:bookmarkStart w:id="34" w:name="_Toc12372854"/>
      <w:bookmarkStart w:id="35" w:name="_Toc509743733"/>
      <w:bookmarkStart w:id="36" w:name="_Toc509745132"/>
      <w:r>
        <w:rPr>
          <w:rFonts w:hint="eastAsia" w:ascii="宋体" w:hAnsi="宋体" w:eastAsia="宋体"/>
        </w:rPr>
        <w:t>分项</w:t>
      </w:r>
      <w:r>
        <w:rPr>
          <w:rFonts w:ascii="宋体" w:hAnsi="宋体" w:eastAsia="宋体"/>
        </w:rPr>
        <w:t>报价表</w:t>
      </w:r>
      <w:bookmarkEnd w:id="31"/>
      <w:bookmarkEnd w:id="32"/>
      <w:bookmarkEnd w:id="33"/>
      <w:bookmarkEnd w:id="34"/>
      <w:bookmarkEnd w:id="35"/>
      <w:bookmarkEnd w:id="36"/>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900"/>
        <w:gridCol w:w="1080"/>
        <w:gridCol w:w="900"/>
        <w:gridCol w:w="108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序号</w:t>
            </w:r>
          </w:p>
        </w:tc>
        <w:tc>
          <w:tcPr>
            <w:tcW w:w="19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产品</w:t>
            </w:r>
            <w:r>
              <w:rPr>
                <w:rFonts w:ascii="宋体" w:hAnsi="宋体"/>
                <w:sz w:val="24"/>
              </w:rPr>
              <w:t>名称</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产地/品牌</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规格/型号</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数量</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合计</w:t>
            </w:r>
            <w:r>
              <w:rPr>
                <w:rFonts w:hint="eastAsia" w:ascii="宋体" w:hAnsi="宋体"/>
                <w:sz w:val="24"/>
              </w:rPr>
              <w:t>（元）</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1</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2</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3</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w:t>
            </w:r>
          </w:p>
        </w:tc>
        <w:tc>
          <w:tcPr>
            <w:tcW w:w="19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r>
    </w:tbl>
    <w:p>
      <w:pPr>
        <w:pStyle w:val="10"/>
        <w:pageBreakBefore w:val="0"/>
        <w:kinsoku/>
        <w:wordWrap/>
        <w:overflowPunct/>
        <w:topLinePunct w:val="0"/>
        <w:bidi w:val="0"/>
        <w:snapToGrid w:val="0"/>
        <w:spacing w:line="560" w:lineRule="exact"/>
        <w:textAlignment w:val="auto"/>
        <w:rPr>
          <w:rFonts w:ascii="宋体" w:hAnsi="宋体"/>
          <w:sz w:val="24"/>
        </w:rPr>
      </w:pPr>
      <w:r>
        <w:rPr>
          <w:rFonts w:ascii="宋体" w:hAnsi="宋体" w:eastAsia="宋体"/>
          <w:b w:val="0"/>
          <w:sz w:val="24"/>
          <w:szCs w:val="24"/>
        </w:rPr>
        <w:t xml:space="preserve">(投标单位加盖公章)  </w:t>
      </w: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37" w:name="_Toc12372855"/>
      <w:bookmarkStart w:id="38" w:name="_Toc2580374"/>
      <w:bookmarkStart w:id="39" w:name="_Toc2580734"/>
      <w:r>
        <w:rPr>
          <w:rFonts w:hint="eastAsia" w:ascii="宋体" w:hAnsi="宋体" w:eastAsia="宋体"/>
          <w:lang w:eastAsia="zh-CN"/>
        </w:rPr>
        <w:t>试剂</w:t>
      </w:r>
      <w:r>
        <w:rPr>
          <w:rFonts w:hint="eastAsia" w:ascii="宋体" w:hAnsi="宋体" w:eastAsia="宋体"/>
        </w:rPr>
        <w:t>耗材和/或易损部件报价</w:t>
      </w:r>
      <w:bookmarkEnd w:id="37"/>
      <w:bookmarkEnd w:id="38"/>
      <w:bookmarkEnd w:id="39"/>
    </w:p>
    <w:p>
      <w:pPr>
        <w:pageBreakBefore w:val="0"/>
        <w:kinsoku/>
        <w:wordWrap/>
        <w:overflowPunct/>
        <w:topLinePunct w:val="0"/>
        <w:bidi w:val="0"/>
        <w:snapToGrid w:val="0"/>
        <w:spacing w:line="560" w:lineRule="exact"/>
        <w:textAlignment w:val="auto"/>
        <w:rPr>
          <w:rFonts w:ascii="宋体" w:hAnsi="宋体"/>
          <w:sz w:val="24"/>
        </w:rPr>
      </w:pPr>
      <w:r>
        <w:rPr>
          <w:rFonts w:hint="eastAsia" w:ascii="宋体" w:hAnsi="宋体"/>
          <w:sz w:val="24"/>
        </w:rPr>
        <w:t>是否有耗材（□有、□无）</w:t>
      </w:r>
    </w:p>
    <w:p>
      <w:pPr>
        <w:pageBreakBefore w:val="0"/>
        <w:kinsoku/>
        <w:wordWrap/>
        <w:overflowPunct/>
        <w:topLinePunct w:val="0"/>
        <w:bidi w:val="0"/>
        <w:snapToGrid w:val="0"/>
        <w:spacing w:line="560" w:lineRule="exact"/>
        <w:textAlignment w:val="auto"/>
      </w:pPr>
      <w:r>
        <w:rPr>
          <w:rFonts w:hint="eastAsia" w:ascii="宋体" w:hAnsi="宋体"/>
          <w:sz w:val="24"/>
        </w:rPr>
        <w:t>耗材是否开放（□是、□否）</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8"/>
        <w:gridCol w:w="900"/>
        <w:gridCol w:w="1080"/>
        <w:gridCol w:w="996"/>
        <w:gridCol w:w="851"/>
        <w:gridCol w:w="1143"/>
        <w:gridCol w:w="99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序号</w:t>
            </w:r>
          </w:p>
        </w:tc>
        <w:tc>
          <w:tcPr>
            <w:tcW w:w="87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名称</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产地/品牌</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规格/型号</w:t>
            </w:r>
          </w:p>
        </w:tc>
        <w:tc>
          <w:tcPr>
            <w:tcW w:w="996"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平台价</w:t>
            </w:r>
          </w:p>
        </w:tc>
        <w:tc>
          <w:tcPr>
            <w:tcW w:w="851"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报价</w:t>
            </w:r>
          </w:p>
        </w:tc>
        <w:tc>
          <w:tcPr>
            <w:tcW w:w="1143"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单价（人次）</w:t>
            </w: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流水号</w:t>
            </w:r>
          </w:p>
        </w:tc>
        <w:tc>
          <w:tcPr>
            <w:tcW w:w="1263"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交易目录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1</w:t>
            </w:r>
          </w:p>
        </w:tc>
        <w:tc>
          <w:tcPr>
            <w:tcW w:w="878"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851"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143"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263"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集中/备案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2</w:t>
            </w:r>
          </w:p>
        </w:tc>
        <w:tc>
          <w:tcPr>
            <w:tcW w:w="878"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851"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143"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263"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3</w:t>
            </w:r>
          </w:p>
        </w:tc>
        <w:tc>
          <w:tcPr>
            <w:tcW w:w="878"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851"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143"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263"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w:t>
            </w:r>
          </w:p>
        </w:tc>
        <w:tc>
          <w:tcPr>
            <w:tcW w:w="878"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851"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143"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96"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263" w:type="dxa"/>
          </w:tcPr>
          <w:p>
            <w:pPr>
              <w:pageBreakBefore w:val="0"/>
              <w:kinsoku/>
              <w:wordWrap/>
              <w:overflowPunct/>
              <w:topLinePunct w:val="0"/>
              <w:bidi w:val="0"/>
              <w:snapToGrid w:val="0"/>
              <w:spacing w:line="560" w:lineRule="exact"/>
              <w:jc w:val="center"/>
              <w:textAlignment w:val="auto"/>
              <w:rPr>
                <w:rFonts w:ascii="宋体" w:hAnsi="宋体"/>
                <w:sz w:val="24"/>
              </w:rPr>
            </w:pPr>
          </w:p>
        </w:tc>
      </w:tr>
    </w:tbl>
    <w:p>
      <w:pPr>
        <w:pageBreakBefore w:val="0"/>
        <w:kinsoku/>
        <w:wordWrap/>
        <w:overflowPunct/>
        <w:topLinePunct w:val="0"/>
        <w:bidi w:val="0"/>
        <w:snapToGrid w:val="0"/>
        <w:spacing w:line="560" w:lineRule="exact"/>
        <w:textAlignment w:val="auto"/>
        <w:rPr>
          <w:rFonts w:ascii="宋体" w:hAnsi="宋体"/>
          <w:sz w:val="24"/>
        </w:rPr>
      </w:pPr>
      <w:r>
        <w:rPr>
          <w:rFonts w:ascii="宋体" w:hAnsi="宋体"/>
          <w:sz w:val="24"/>
        </w:rPr>
        <w:t>(投标单位加盖公章)</w:t>
      </w:r>
    </w:p>
    <w:p>
      <w:pPr>
        <w:pageBreakBefore w:val="0"/>
        <w:kinsoku/>
        <w:wordWrap/>
        <w:overflowPunct/>
        <w:topLinePunct w:val="0"/>
        <w:bidi w:val="0"/>
        <w:snapToGrid w:val="0"/>
        <w:spacing w:line="560" w:lineRule="exact"/>
        <w:textAlignment w:val="auto"/>
        <w:rPr>
          <w:rFonts w:ascii="宋体" w:hAnsi="宋体"/>
          <w:sz w:val="24"/>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40" w:name="_Toc2580735"/>
      <w:bookmarkStart w:id="41" w:name="_Toc2580375"/>
      <w:bookmarkStart w:id="42" w:name="_Toc12372856"/>
      <w:bookmarkStart w:id="43" w:name="_Toc1407346"/>
      <w:bookmarkStart w:id="44" w:name="_Toc509743734"/>
      <w:bookmarkStart w:id="45" w:name="_Toc509745133"/>
      <w:r>
        <w:rPr>
          <w:rFonts w:hint="eastAsia" w:ascii="宋体" w:hAnsi="宋体" w:eastAsia="宋体"/>
        </w:rPr>
        <w:t>配置清单（主要零部件、配套件）一览</w:t>
      </w:r>
      <w:r>
        <w:rPr>
          <w:rFonts w:ascii="宋体" w:hAnsi="宋体" w:eastAsia="宋体"/>
        </w:rPr>
        <w:t>表</w:t>
      </w:r>
      <w:bookmarkEnd w:id="40"/>
      <w:bookmarkEnd w:id="41"/>
      <w:bookmarkEnd w:id="42"/>
      <w:bookmarkEnd w:id="43"/>
      <w:bookmarkEnd w:id="44"/>
      <w:bookmarkEnd w:id="45"/>
    </w:p>
    <w:p>
      <w:pPr>
        <w:pageBreakBefore w:val="0"/>
        <w:kinsoku/>
        <w:wordWrap/>
        <w:overflowPunct/>
        <w:topLinePunct w:val="0"/>
        <w:bidi w:val="0"/>
        <w:snapToGrid w:val="0"/>
        <w:spacing w:line="560" w:lineRule="exact"/>
        <w:textAlignment w:val="auto"/>
        <w:rPr>
          <w:rFonts w:ascii="宋体" w:hAnsi="宋体"/>
          <w:sz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5"/>
        <w:gridCol w:w="900"/>
        <w:gridCol w:w="1620"/>
        <w:gridCol w:w="90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序号</w:t>
            </w:r>
          </w:p>
        </w:tc>
        <w:tc>
          <w:tcPr>
            <w:tcW w:w="1695"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名称</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产地</w:t>
            </w:r>
          </w:p>
        </w:tc>
        <w:tc>
          <w:tcPr>
            <w:tcW w:w="16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规格/型号</w:t>
            </w:r>
          </w:p>
        </w:tc>
        <w:tc>
          <w:tcPr>
            <w:tcW w:w="90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数量</w:t>
            </w:r>
          </w:p>
        </w:tc>
        <w:tc>
          <w:tcPr>
            <w:tcW w:w="144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单价</w:t>
            </w:r>
            <w:r>
              <w:rPr>
                <w:rFonts w:hint="eastAsia" w:ascii="宋体" w:hAnsi="宋体"/>
                <w:sz w:val="24"/>
              </w:rPr>
              <w:t>（元）</w:t>
            </w:r>
          </w:p>
        </w:tc>
        <w:tc>
          <w:tcPr>
            <w:tcW w:w="10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1</w:t>
            </w:r>
          </w:p>
        </w:tc>
        <w:tc>
          <w:tcPr>
            <w:tcW w:w="1695"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62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4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2</w:t>
            </w:r>
          </w:p>
        </w:tc>
        <w:tc>
          <w:tcPr>
            <w:tcW w:w="1695"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62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4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3</w:t>
            </w:r>
          </w:p>
        </w:tc>
        <w:tc>
          <w:tcPr>
            <w:tcW w:w="1695"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62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4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w:t>
            </w:r>
          </w:p>
        </w:tc>
        <w:tc>
          <w:tcPr>
            <w:tcW w:w="1695"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62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90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4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080" w:type="dxa"/>
          </w:tcPr>
          <w:p>
            <w:pPr>
              <w:pageBreakBefore w:val="0"/>
              <w:kinsoku/>
              <w:wordWrap/>
              <w:overflowPunct/>
              <w:topLinePunct w:val="0"/>
              <w:bidi w:val="0"/>
              <w:snapToGrid w:val="0"/>
              <w:spacing w:line="560" w:lineRule="exact"/>
              <w:jc w:val="center"/>
              <w:textAlignment w:val="auto"/>
              <w:rPr>
                <w:rFonts w:ascii="宋体" w:hAnsi="宋体"/>
                <w:sz w:val="24"/>
              </w:rPr>
            </w:pPr>
          </w:p>
        </w:tc>
      </w:tr>
    </w:tbl>
    <w:p>
      <w:pPr>
        <w:pageBreakBefore w:val="0"/>
        <w:kinsoku/>
        <w:wordWrap/>
        <w:overflowPunct/>
        <w:topLinePunct w:val="0"/>
        <w:bidi w:val="0"/>
        <w:snapToGrid w:val="0"/>
        <w:spacing w:line="560" w:lineRule="exact"/>
        <w:textAlignment w:val="auto"/>
        <w:rPr>
          <w:rFonts w:ascii="宋体" w:hAnsi="宋体"/>
          <w:sz w:val="24"/>
        </w:rPr>
      </w:pPr>
      <w:r>
        <w:rPr>
          <w:rFonts w:ascii="宋体" w:hAnsi="宋体"/>
          <w:sz w:val="24"/>
        </w:rPr>
        <w:t xml:space="preserve">(投标单位加盖公章)  </w:t>
      </w:r>
    </w:p>
    <w:p>
      <w:pPr>
        <w:pageBreakBefore w:val="0"/>
        <w:kinsoku/>
        <w:wordWrap/>
        <w:overflowPunct/>
        <w:topLinePunct w:val="0"/>
        <w:bidi w:val="0"/>
        <w:snapToGrid w:val="0"/>
        <w:spacing w:line="560" w:lineRule="exact"/>
        <w:ind w:firstLine="480" w:firstLineChars="200"/>
        <w:textAlignment w:val="auto"/>
        <w:rPr>
          <w:sz w:val="24"/>
        </w:rPr>
      </w:pPr>
    </w:p>
    <w:p>
      <w:pPr>
        <w:pageBreakBefore w:val="0"/>
        <w:kinsoku/>
        <w:wordWrap/>
        <w:overflowPunct/>
        <w:topLinePunct w:val="0"/>
        <w:bidi w:val="0"/>
        <w:snapToGrid w:val="0"/>
        <w:spacing w:line="560" w:lineRule="exact"/>
        <w:ind w:firstLine="480" w:firstLineChars="200"/>
        <w:textAlignment w:val="auto"/>
        <w:rPr>
          <w:sz w:val="24"/>
        </w:rPr>
      </w:pPr>
    </w:p>
    <w:p>
      <w:pPr>
        <w:pageBreakBefore w:val="0"/>
        <w:kinsoku/>
        <w:wordWrap/>
        <w:overflowPunct/>
        <w:topLinePunct w:val="0"/>
        <w:bidi w:val="0"/>
        <w:snapToGrid w:val="0"/>
        <w:spacing w:line="560" w:lineRule="exact"/>
        <w:ind w:firstLine="480" w:firstLineChars="200"/>
        <w:textAlignment w:val="auto"/>
        <w:rPr>
          <w:sz w:val="24"/>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46" w:name="_Toc1407347"/>
      <w:bookmarkStart w:id="47" w:name="_Toc12372857"/>
      <w:bookmarkStart w:id="48" w:name="_Toc2580376"/>
      <w:bookmarkStart w:id="49" w:name="_Toc2580736"/>
      <w:r>
        <w:rPr>
          <w:rFonts w:hint="eastAsia" w:ascii="宋体" w:hAnsi="宋体" w:eastAsia="宋体"/>
        </w:rPr>
        <w:t>技术参数</w:t>
      </w:r>
      <w:bookmarkEnd w:id="46"/>
      <w:bookmarkEnd w:id="47"/>
      <w:bookmarkEnd w:id="48"/>
      <w:bookmarkEnd w:id="49"/>
    </w:p>
    <w:p>
      <w:pPr>
        <w:pageBreakBefore w:val="0"/>
        <w:kinsoku/>
        <w:wordWrap/>
        <w:overflowPunct/>
        <w:topLinePunct w:val="0"/>
        <w:bidi w:val="0"/>
        <w:snapToGrid w:val="0"/>
        <w:spacing w:line="560" w:lineRule="exact"/>
        <w:textAlignment w:val="auto"/>
        <w:rPr>
          <w:rFonts w:ascii="宋体" w:hAnsi="宋体"/>
          <w:sz w:val="24"/>
        </w:rPr>
      </w:pPr>
      <w:r>
        <w:rPr>
          <w:rFonts w:ascii="宋体" w:hAnsi="宋体"/>
          <w:sz w:val="24"/>
        </w:rPr>
        <w:t>设备名称</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r>
        <w:rPr>
          <w:rFonts w:ascii="宋体" w:hAnsi="宋体"/>
          <w:sz w:val="24"/>
        </w:rPr>
        <w:t>产</w:t>
      </w:r>
      <w:r>
        <w:rPr>
          <w:rFonts w:hint="eastAsia" w:ascii="宋体" w:hAnsi="宋体"/>
          <w:sz w:val="24"/>
        </w:rPr>
        <w:t xml:space="preserve">    </w:t>
      </w:r>
      <w:r>
        <w:rPr>
          <w:rFonts w:ascii="宋体" w:hAnsi="宋体"/>
          <w:sz w:val="24"/>
        </w:rPr>
        <w:t>地</w:t>
      </w:r>
      <w:r>
        <w:rPr>
          <w:rFonts w:hint="eastAsia" w:ascii="宋体" w:hAnsi="宋体"/>
          <w:sz w:val="24"/>
        </w:rPr>
        <w:t>：</w:t>
      </w:r>
      <w:r>
        <w:rPr>
          <w:rFonts w:hint="eastAsia" w:ascii="宋体" w:hAnsi="宋体"/>
          <w:sz w:val="24"/>
          <w:u w:val="single"/>
        </w:rPr>
        <w:t xml:space="preserve">               </w:t>
      </w:r>
    </w:p>
    <w:p>
      <w:pPr>
        <w:pageBreakBefore w:val="0"/>
        <w:kinsoku/>
        <w:wordWrap/>
        <w:overflowPunct/>
        <w:topLinePunct w:val="0"/>
        <w:bidi w:val="0"/>
        <w:snapToGrid w:val="0"/>
        <w:spacing w:line="560" w:lineRule="exact"/>
        <w:textAlignment w:val="auto"/>
        <w:rPr>
          <w:rFonts w:ascii="宋体" w:hAnsi="宋体"/>
          <w:sz w:val="24"/>
          <w:u w:val="single"/>
        </w:rPr>
      </w:pPr>
      <w:r>
        <w:rPr>
          <w:rFonts w:ascii="宋体" w:hAnsi="宋体"/>
          <w:sz w:val="24"/>
        </w:rPr>
        <w:t>品</w:t>
      </w:r>
      <w:r>
        <w:rPr>
          <w:rFonts w:hint="eastAsia" w:ascii="宋体" w:hAnsi="宋体"/>
          <w:sz w:val="24"/>
        </w:rPr>
        <w:t xml:space="preserve">    </w:t>
      </w:r>
      <w:r>
        <w:rPr>
          <w:rFonts w:ascii="宋体" w:hAnsi="宋体"/>
          <w:sz w:val="24"/>
        </w:rPr>
        <w:t>牌</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w:t>
      </w:r>
      <w:r>
        <w:rPr>
          <w:rFonts w:ascii="宋体" w:hAnsi="宋体"/>
          <w:sz w:val="24"/>
        </w:rPr>
        <w:t>型</w:t>
      </w:r>
      <w:r>
        <w:rPr>
          <w:rFonts w:hint="eastAsia" w:ascii="宋体" w:hAnsi="宋体"/>
          <w:sz w:val="24"/>
        </w:rPr>
        <w:t xml:space="preserve">    </w:t>
      </w:r>
      <w:r>
        <w:rPr>
          <w:rFonts w:ascii="宋体" w:hAnsi="宋体"/>
          <w:sz w:val="24"/>
        </w:rPr>
        <w:t>号</w:t>
      </w:r>
      <w:r>
        <w:rPr>
          <w:rFonts w:hint="eastAsia" w:ascii="宋体" w:hAnsi="宋体"/>
          <w:sz w:val="24"/>
        </w:rPr>
        <w:t>：</w:t>
      </w:r>
      <w:r>
        <w:rPr>
          <w:rFonts w:hint="eastAsia" w:ascii="宋体" w:hAnsi="宋体"/>
          <w:sz w:val="24"/>
          <w:u w:val="single"/>
        </w:rPr>
        <w:t xml:space="preserve">               </w:t>
      </w:r>
    </w:p>
    <w:tbl>
      <w:tblPr>
        <w:tblStyle w:val="16"/>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480"/>
        <w:gridCol w:w="2730"/>
        <w:gridCol w:w="14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ascii="宋体" w:hAnsi="宋体"/>
                <w:sz w:val="24"/>
              </w:rPr>
              <w:t>序号</w:t>
            </w:r>
          </w:p>
        </w:tc>
        <w:tc>
          <w:tcPr>
            <w:tcW w:w="34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lang w:eastAsia="zh-CN"/>
              </w:rPr>
              <w:t>设备</w:t>
            </w:r>
            <w:r>
              <w:rPr>
                <w:rFonts w:ascii="宋体" w:hAnsi="宋体"/>
                <w:sz w:val="24"/>
              </w:rPr>
              <w:t>技术参数</w:t>
            </w:r>
            <w:r>
              <w:rPr>
                <w:rFonts w:hint="eastAsia" w:ascii="宋体" w:hAnsi="宋体"/>
                <w:sz w:val="24"/>
              </w:rPr>
              <w:t>要求</w:t>
            </w:r>
          </w:p>
        </w:tc>
        <w:tc>
          <w:tcPr>
            <w:tcW w:w="273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lang w:eastAsia="zh-CN"/>
              </w:rPr>
              <w:t>投标设备</w:t>
            </w:r>
            <w:r>
              <w:rPr>
                <w:rFonts w:hint="eastAsia" w:ascii="宋体" w:hAnsi="宋体"/>
                <w:sz w:val="24"/>
              </w:rPr>
              <w:t>实际参数</w:t>
            </w:r>
          </w:p>
        </w:tc>
        <w:tc>
          <w:tcPr>
            <w:tcW w:w="14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参数响应</w:t>
            </w:r>
          </w:p>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1</w:t>
            </w:r>
          </w:p>
        </w:tc>
        <w:tc>
          <w:tcPr>
            <w:tcW w:w="34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c>
          <w:tcPr>
            <w:tcW w:w="2730" w:type="dxa"/>
          </w:tcPr>
          <w:p>
            <w:pPr>
              <w:pageBreakBefore w:val="0"/>
              <w:kinsoku/>
              <w:wordWrap/>
              <w:overflowPunct/>
              <w:topLinePunct w:val="0"/>
              <w:bidi w:val="0"/>
              <w:snapToGrid w:val="0"/>
              <w:spacing w:line="560" w:lineRule="exact"/>
              <w:jc w:val="center"/>
              <w:textAlignment w:val="auto"/>
              <w:rPr>
                <w:rFonts w:ascii="宋体" w:hAnsi="宋体"/>
                <w:sz w:val="24"/>
              </w:rPr>
            </w:pPr>
          </w:p>
          <w:p>
            <w:pPr>
              <w:pageBreakBefore w:val="0"/>
              <w:kinsoku/>
              <w:wordWrap/>
              <w:overflowPunct/>
              <w:topLinePunct w:val="0"/>
              <w:bidi w:val="0"/>
              <w:snapToGrid w:val="0"/>
              <w:spacing w:line="560" w:lineRule="exact"/>
              <w:jc w:val="center"/>
              <w:textAlignment w:val="auto"/>
              <w:rPr>
                <w:rFonts w:ascii="宋体" w:hAnsi="宋体"/>
                <w:sz w:val="24"/>
              </w:rPr>
            </w:pPr>
          </w:p>
        </w:tc>
        <w:tc>
          <w:tcPr>
            <w:tcW w:w="14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2</w:t>
            </w:r>
          </w:p>
        </w:tc>
        <w:tc>
          <w:tcPr>
            <w:tcW w:w="34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c>
          <w:tcPr>
            <w:tcW w:w="273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3</w:t>
            </w:r>
          </w:p>
        </w:tc>
        <w:tc>
          <w:tcPr>
            <w:tcW w:w="34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c>
          <w:tcPr>
            <w:tcW w:w="273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28"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r>
              <w:rPr>
                <w:rFonts w:hint="eastAsia" w:ascii="宋体" w:hAnsi="宋体"/>
                <w:sz w:val="24"/>
              </w:rPr>
              <w:t>...</w:t>
            </w:r>
          </w:p>
        </w:tc>
        <w:tc>
          <w:tcPr>
            <w:tcW w:w="348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c>
          <w:tcPr>
            <w:tcW w:w="2730" w:type="dxa"/>
          </w:tcPr>
          <w:p>
            <w:pPr>
              <w:pageBreakBefore w:val="0"/>
              <w:kinsoku/>
              <w:wordWrap/>
              <w:overflowPunct/>
              <w:topLinePunct w:val="0"/>
              <w:bidi w:val="0"/>
              <w:snapToGrid w:val="0"/>
              <w:spacing w:line="560" w:lineRule="exact"/>
              <w:jc w:val="center"/>
              <w:textAlignment w:val="auto"/>
              <w:rPr>
                <w:rFonts w:ascii="宋体" w:hAnsi="宋体"/>
                <w:sz w:val="24"/>
              </w:rPr>
            </w:pPr>
          </w:p>
        </w:tc>
        <w:tc>
          <w:tcPr>
            <w:tcW w:w="1420" w:type="dxa"/>
            <w:vAlign w:val="center"/>
          </w:tcPr>
          <w:p>
            <w:pPr>
              <w:pageBreakBefore w:val="0"/>
              <w:kinsoku/>
              <w:wordWrap/>
              <w:overflowPunct/>
              <w:topLinePunct w:val="0"/>
              <w:bidi w:val="0"/>
              <w:snapToGrid w:val="0"/>
              <w:spacing w:line="560" w:lineRule="exact"/>
              <w:jc w:val="center"/>
              <w:textAlignment w:val="auto"/>
              <w:rPr>
                <w:rFonts w:ascii="宋体" w:hAnsi="宋体"/>
                <w:sz w:val="24"/>
              </w:rPr>
            </w:pPr>
          </w:p>
        </w:tc>
      </w:tr>
    </w:tbl>
    <w:p>
      <w:pPr>
        <w:pageBreakBefore w:val="0"/>
        <w:kinsoku/>
        <w:wordWrap/>
        <w:overflowPunct/>
        <w:topLinePunct w:val="0"/>
        <w:bidi w:val="0"/>
        <w:snapToGrid w:val="0"/>
        <w:spacing w:line="560" w:lineRule="exact"/>
        <w:textAlignment w:val="auto"/>
        <w:rPr>
          <w:rFonts w:ascii="宋体" w:hAnsi="宋体"/>
          <w:sz w:val="24"/>
        </w:rPr>
      </w:pPr>
      <w:bookmarkStart w:id="50" w:name="_Toc492193544"/>
      <w:bookmarkStart w:id="51" w:name="_Toc492193068"/>
      <w:r>
        <w:rPr>
          <w:rFonts w:ascii="宋体" w:hAnsi="宋体"/>
          <w:sz w:val="24"/>
        </w:rPr>
        <w:t xml:space="preserve"> </w:t>
      </w:r>
    </w:p>
    <w:p>
      <w:pPr>
        <w:pageBreakBefore w:val="0"/>
        <w:kinsoku/>
        <w:wordWrap/>
        <w:overflowPunct/>
        <w:topLinePunct w:val="0"/>
        <w:bidi w:val="0"/>
        <w:snapToGrid w:val="0"/>
        <w:spacing w:line="560" w:lineRule="exact"/>
        <w:textAlignment w:val="auto"/>
        <w:rPr>
          <w:rFonts w:ascii="宋体" w:hAnsi="宋体"/>
          <w:sz w:val="24"/>
        </w:rPr>
      </w:pPr>
      <w:r>
        <w:rPr>
          <w:rFonts w:ascii="宋体" w:hAnsi="宋体"/>
          <w:sz w:val="24"/>
        </w:rPr>
        <w:t>(投标单位加盖公章</w:t>
      </w:r>
      <w:r>
        <w:rPr>
          <w:rFonts w:hint="eastAsia" w:ascii="宋体" w:hAnsi="宋体"/>
          <w:sz w:val="24"/>
        </w:rPr>
        <w:t>，</w:t>
      </w:r>
      <w:r>
        <w:rPr>
          <w:rFonts w:hint="eastAsia"/>
          <w:sz w:val="24"/>
        </w:rPr>
        <w:t>可另附投标产品详细技术参数</w:t>
      </w:r>
      <w:r>
        <w:rPr>
          <w:rFonts w:ascii="宋体" w:hAnsi="宋体"/>
          <w:sz w:val="24"/>
        </w:rPr>
        <w:t>)</w:t>
      </w:r>
      <w:bookmarkEnd w:id="50"/>
      <w:bookmarkEnd w:id="51"/>
      <w:r>
        <w:rPr>
          <w:rFonts w:ascii="宋体" w:hAnsi="宋体"/>
          <w:sz w:val="24"/>
        </w:rPr>
        <w:t xml:space="preserve">  </w:t>
      </w:r>
    </w:p>
    <w:p>
      <w:pPr>
        <w:pageBreakBefore w:val="0"/>
        <w:kinsoku/>
        <w:wordWrap/>
        <w:overflowPunct/>
        <w:topLinePunct w:val="0"/>
        <w:bidi w:val="0"/>
        <w:snapToGrid w:val="0"/>
        <w:spacing w:line="560" w:lineRule="exact"/>
        <w:textAlignment w:val="auto"/>
        <w:rPr>
          <w:rFonts w:ascii="宋体" w:hAnsi="宋体"/>
          <w:sz w:val="24"/>
        </w:rPr>
      </w:pPr>
    </w:p>
    <w:p>
      <w:pPr>
        <w:pageBreakBefore w:val="0"/>
        <w:kinsoku/>
        <w:wordWrap/>
        <w:overflowPunct/>
        <w:topLinePunct w:val="0"/>
        <w:bidi w:val="0"/>
        <w:snapToGrid w:val="0"/>
        <w:spacing w:line="560" w:lineRule="exact"/>
        <w:ind w:firstLine="480" w:firstLineChars="200"/>
        <w:textAlignment w:val="auto"/>
        <w:rPr>
          <w:sz w:val="24"/>
        </w:rPr>
      </w:pPr>
    </w:p>
    <w:p>
      <w:pPr>
        <w:pageBreakBefore w:val="0"/>
        <w:kinsoku/>
        <w:wordWrap/>
        <w:overflowPunct/>
        <w:topLinePunct w:val="0"/>
        <w:bidi w:val="0"/>
        <w:snapToGrid w:val="0"/>
        <w:spacing w:line="560" w:lineRule="exact"/>
        <w:ind w:firstLine="480" w:firstLineChars="200"/>
        <w:textAlignment w:val="auto"/>
        <w:rPr>
          <w:sz w:val="24"/>
        </w:rPr>
      </w:pPr>
    </w:p>
    <w:p/>
    <w:p>
      <w:pPr>
        <w:pStyle w:val="4"/>
        <w:keepNext w:val="0"/>
        <w:keepLines w:val="0"/>
        <w:pageBreakBefore w:val="0"/>
        <w:kinsoku/>
        <w:wordWrap/>
        <w:overflowPunct/>
        <w:topLinePunct w:val="0"/>
        <w:bidi w:val="0"/>
        <w:snapToGrid w:val="0"/>
        <w:spacing w:line="560" w:lineRule="exact"/>
        <w:jc w:val="center"/>
        <w:textAlignment w:val="auto"/>
        <w:rPr>
          <w:rFonts w:ascii="宋体" w:hAnsi="宋体"/>
        </w:rPr>
      </w:pPr>
      <w:bookmarkStart w:id="52" w:name="_Toc12372858"/>
      <w:bookmarkStart w:id="53" w:name="_Toc1407348"/>
      <w:bookmarkStart w:id="54" w:name="_Toc2580737"/>
      <w:bookmarkStart w:id="55" w:name="_Toc2580377"/>
      <w:r>
        <w:rPr>
          <w:rFonts w:hint="eastAsia" w:ascii="宋体" w:hAnsi="宋体" w:eastAsia="宋体"/>
        </w:rPr>
        <w:t>资质证件</w:t>
      </w:r>
      <w:bookmarkEnd w:id="52"/>
      <w:bookmarkEnd w:id="53"/>
      <w:bookmarkEnd w:id="54"/>
      <w:bookmarkEnd w:id="55"/>
    </w:p>
    <w:p>
      <w:pPr>
        <w:pageBreakBefore w:val="0"/>
        <w:kinsoku/>
        <w:wordWrap/>
        <w:overflowPunct/>
        <w:topLinePunct w:val="0"/>
        <w:bidi w:val="0"/>
        <w:snapToGrid w:val="0"/>
        <w:spacing w:line="560" w:lineRule="exact"/>
        <w:textAlignment w:val="auto"/>
        <w:rPr>
          <w:rFonts w:ascii="宋体" w:hAnsi="宋体"/>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56" w:name="_Toc2580738"/>
      <w:bookmarkStart w:id="57" w:name="_Toc12372859"/>
      <w:bookmarkStart w:id="58" w:name="_Toc1407349"/>
      <w:bookmarkStart w:id="59" w:name="_Toc2580378"/>
      <w:r>
        <w:rPr>
          <w:rFonts w:hint="eastAsia" w:ascii="宋体" w:hAnsi="宋体" w:eastAsia="宋体"/>
        </w:rPr>
        <w:t>授权书</w:t>
      </w:r>
      <w:bookmarkEnd w:id="56"/>
      <w:bookmarkEnd w:id="57"/>
      <w:bookmarkEnd w:id="58"/>
      <w:bookmarkEnd w:id="59"/>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rPr>
          <w:rFonts w:ascii="宋体" w:hAnsi="宋体"/>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60" w:name="_Toc12372860"/>
      <w:bookmarkStart w:id="61" w:name="_Toc2580739"/>
      <w:bookmarkStart w:id="62" w:name="_Toc2580379"/>
      <w:bookmarkStart w:id="63" w:name="_Toc1407350"/>
      <w:r>
        <w:rPr>
          <w:rFonts w:ascii="宋体" w:hAnsi="宋体" w:eastAsia="宋体"/>
        </w:rPr>
        <w:t>售后服务</w:t>
      </w:r>
      <w:bookmarkEnd w:id="60"/>
      <w:bookmarkEnd w:id="61"/>
      <w:bookmarkEnd w:id="62"/>
      <w:bookmarkEnd w:id="63"/>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rPr>
          <w:rFonts w:ascii="宋体" w:hAnsi="宋体"/>
        </w:rPr>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eastAsia="宋体"/>
        </w:rPr>
      </w:pPr>
      <w:bookmarkStart w:id="64" w:name="_Toc2580740"/>
      <w:bookmarkStart w:id="65" w:name="_Toc2580380"/>
      <w:bookmarkStart w:id="66" w:name="_Toc12372861"/>
      <w:bookmarkStart w:id="67" w:name="_Toc1407351"/>
      <w:r>
        <w:rPr>
          <w:rFonts w:hint="eastAsia" w:ascii="宋体" w:hAnsi="宋体" w:eastAsia="宋体"/>
        </w:rPr>
        <w:t>维保方案</w:t>
      </w:r>
      <w:bookmarkEnd w:id="64"/>
      <w:bookmarkEnd w:id="65"/>
      <w:bookmarkEnd w:id="66"/>
      <w:bookmarkEnd w:id="67"/>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rPr>
          <w:rFonts w:ascii="宋体" w:hAnsi="宋体"/>
        </w:rPr>
      </w:pPr>
    </w:p>
    <w:p>
      <w:pPr>
        <w:pageBreakBefore w:val="0"/>
        <w:kinsoku/>
        <w:wordWrap/>
        <w:overflowPunct/>
        <w:topLinePunct w:val="0"/>
        <w:bidi w:val="0"/>
        <w:snapToGrid w:val="0"/>
        <w:spacing w:line="560" w:lineRule="exact"/>
        <w:textAlignment w:val="auto"/>
      </w:pPr>
    </w:p>
    <w:p>
      <w:pPr>
        <w:pStyle w:val="4"/>
        <w:keepNext w:val="0"/>
        <w:keepLines w:val="0"/>
        <w:pageBreakBefore w:val="0"/>
        <w:kinsoku/>
        <w:wordWrap/>
        <w:overflowPunct/>
        <w:topLinePunct w:val="0"/>
        <w:bidi w:val="0"/>
        <w:snapToGrid w:val="0"/>
        <w:spacing w:line="560" w:lineRule="exact"/>
        <w:jc w:val="center"/>
        <w:textAlignment w:val="auto"/>
      </w:pPr>
      <w:bookmarkStart w:id="68" w:name="_Toc12372862"/>
      <w:bookmarkStart w:id="69" w:name="_Toc1407352"/>
      <w:bookmarkStart w:id="70" w:name="_Toc2580741"/>
      <w:bookmarkStart w:id="71" w:name="_Toc2580381"/>
      <w:r>
        <w:rPr>
          <w:rFonts w:hint="eastAsia" w:ascii="宋体" w:hAnsi="宋体" w:eastAsia="宋体"/>
        </w:rPr>
        <w:t>业绩材料</w:t>
      </w:r>
      <w:bookmarkEnd w:id="68"/>
      <w:bookmarkEnd w:id="69"/>
      <w:bookmarkEnd w:id="70"/>
      <w:bookmarkEnd w:id="71"/>
    </w:p>
    <w:p>
      <w:pPr>
        <w:pageBreakBefore w:val="0"/>
        <w:kinsoku/>
        <w:wordWrap/>
        <w:overflowPunct/>
        <w:topLinePunct w:val="0"/>
        <w:bidi w:val="0"/>
        <w:snapToGrid w:val="0"/>
        <w:spacing w:line="560" w:lineRule="exact"/>
        <w:textAlignment w:val="auto"/>
      </w:pPr>
    </w:p>
    <w:p>
      <w:pPr>
        <w:pStyle w:val="4"/>
        <w:keepNext w:val="0"/>
        <w:keepLines w:val="0"/>
        <w:pageBreakBefore w:val="0"/>
        <w:kinsoku/>
        <w:wordWrap/>
        <w:overflowPunct/>
        <w:topLinePunct w:val="0"/>
        <w:bidi w:val="0"/>
        <w:snapToGrid w:val="0"/>
        <w:spacing w:line="560" w:lineRule="exact"/>
        <w:jc w:val="center"/>
        <w:textAlignment w:val="auto"/>
        <w:rPr>
          <w:rFonts w:ascii="宋体" w:hAnsi="宋体"/>
          <w:b/>
          <w:bCs/>
          <w:kern w:val="0"/>
          <w:sz w:val="30"/>
          <w:szCs w:val="30"/>
        </w:rPr>
      </w:pPr>
      <w:bookmarkStart w:id="72" w:name="_Toc12372863"/>
      <w:bookmarkStart w:id="73" w:name="_Toc2580742"/>
      <w:bookmarkStart w:id="74" w:name="_Toc2580382"/>
      <w:bookmarkStart w:id="75" w:name="_Toc1407353"/>
      <w:r>
        <w:rPr>
          <w:rFonts w:hint="eastAsia" w:ascii="宋体" w:hAnsi="宋体" w:eastAsia="宋体"/>
        </w:rPr>
        <w:t>公司、产品介绍</w:t>
      </w:r>
      <w:bookmarkEnd w:id="72"/>
      <w:bookmarkEnd w:id="73"/>
      <w:bookmarkEnd w:id="74"/>
      <w:bookmarkEnd w:id="75"/>
    </w:p>
    <w:sectPr>
      <w:headerReference r:id="rId3" w:type="default"/>
      <w:footerReference r:id="rId4" w:type="default"/>
      <w:pgSz w:w="11906" w:h="16838"/>
      <w:pgMar w:top="2098" w:right="1474" w:bottom="2041" w:left="1531" w:header="851"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Ｃ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eastAsia="宋体"/>
        <w:lang w:val="en-US" w:eastAsia="zh-CN"/>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rFonts w:hint="eastAsia"/>
        <w:lang w:val="en-US" w:eastAsia="zh-CN"/>
      </w:rPr>
      <w:t>26</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AAFFE"/>
    <w:multiLevelType w:val="singleLevel"/>
    <w:tmpl w:val="C2AAAFF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6F"/>
    <w:rsid w:val="00000F96"/>
    <w:rsid w:val="000110CE"/>
    <w:rsid w:val="000139D3"/>
    <w:rsid w:val="000271A9"/>
    <w:rsid w:val="000316AE"/>
    <w:rsid w:val="00034706"/>
    <w:rsid w:val="000357F9"/>
    <w:rsid w:val="0003582F"/>
    <w:rsid w:val="00050199"/>
    <w:rsid w:val="00051876"/>
    <w:rsid w:val="00052556"/>
    <w:rsid w:val="0006488B"/>
    <w:rsid w:val="000744FD"/>
    <w:rsid w:val="000773FC"/>
    <w:rsid w:val="000809B5"/>
    <w:rsid w:val="000833B5"/>
    <w:rsid w:val="0008467A"/>
    <w:rsid w:val="00085B57"/>
    <w:rsid w:val="000916A8"/>
    <w:rsid w:val="00094828"/>
    <w:rsid w:val="00095620"/>
    <w:rsid w:val="000A06C9"/>
    <w:rsid w:val="000A2580"/>
    <w:rsid w:val="000A31CC"/>
    <w:rsid w:val="000A6782"/>
    <w:rsid w:val="000A6BD1"/>
    <w:rsid w:val="000B3330"/>
    <w:rsid w:val="000B5B1B"/>
    <w:rsid w:val="000D0718"/>
    <w:rsid w:val="000D0D3A"/>
    <w:rsid w:val="000D39F3"/>
    <w:rsid w:val="000D51B7"/>
    <w:rsid w:val="000D5AFA"/>
    <w:rsid w:val="000E387A"/>
    <w:rsid w:val="000E47B9"/>
    <w:rsid w:val="000E73F0"/>
    <w:rsid w:val="000F0D81"/>
    <w:rsid w:val="000F41C0"/>
    <w:rsid w:val="000F436B"/>
    <w:rsid w:val="000F4768"/>
    <w:rsid w:val="000F68D6"/>
    <w:rsid w:val="0010045F"/>
    <w:rsid w:val="00101EFF"/>
    <w:rsid w:val="00102131"/>
    <w:rsid w:val="00107A88"/>
    <w:rsid w:val="00114DE4"/>
    <w:rsid w:val="00123526"/>
    <w:rsid w:val="001262AB"/>
    <w:rsid w:val="001266DB"/>
    <w:rsid w:val="00127433"/>
    <w:rsid w:val="00134F8B"/>
    <w:rsid w:val="001436DA"/>
    <w:rsid w:val="00144DA1"/>
    <w:rsid w:val="00145F8B"/>
    <w:rsid w:val="00147486"/>
    <w:rsid w:val="001565AE"/>
    <w:rsid w:val="0016002A"/>
    <w:rsid w:val="00166B86"/>
    <w:rsid w:val="00173612"/>
    <w:rsid w:val="00175AE3"/>
    <w:rsid w:val="00176A84"/>
    <w:rsid w:val="00184EED"/>
    <w:rsid w:val="00186555"/>
    <w:rsid w:val="001912A3"/>
    <w:rsid w:val="001A24F2"/>
    <w:rsid w:val="001A2610"/>
    <w:rsid w:val="001A4A97"/>
    <w:rsid w:val="001A7DCE"/>
    <w:rsid w:val="001B044D"/>
    <w:rsid w:val="001B1EF6"/>
    <w:rsid w:val="001B50F5"/>
    <w:rsid w:val="001C046D"/>
    <w:rsid w:val="001C1A6D"/>
    <w:rsid w:val="001C20B1"/>
    <w:rsid w:val="001C23C0"/>
    <w:rsid w:val="001C63F1"/>
    <w:rsid w:val="001C6A2F"/>
    <w:rsid w:val="001D4540"/>
    <w:rsid w:val="001D5B11"/>
    <w:rsid w:val="001D5B13"/>
    <w:rsid w:val="001E1364"/>
    <w:rsid w:val="001E556B"/>
    <w:rsid w:val="001E7BD1"/>
    <w:rsid w:val="00203411"/>
    <w:rsid w:val="002039CF"/>
    <w:rsid w:val="002051A7"/>
    <w:rsid w:val="002073C7"/>
    <w:rsid w:val="00210A05"/>
    <w:rsid w:val="00224D5D"/>
    <w:rsid w:val="00233D69"/>
    <w:rsid w:val="00243B12"/>
    <w:rsid w:val="002449BA"/>
    <w:rsid w:val="00245484"/>
    <w:rsid w:val="0024617F"/>
    <w:rsid w:val="002466AF"/>
    <w:rsid w:val="0026085F"/>
    <w:rsid w:val="00262DC8"/>
    <w:rsid w:val="0026557B"/>
    <w:rsid w:val="00265B3A"/>
    <w:rsid w:val="0026627A"/>
    <w:rsid w:val="002724AB"/>
    <w:rsid w:val="00275EC5"/>
    <w:rsid w:val="00283562"/>
    <w:rsid w:val="002917BE"/>
    <w:rsid w:val="00294FA6"/>
    <w:rsid w:val="00296F47"/>
    <w:rsid w:val="00297198"/>
    <w:rsid w:val="002B7949"/>
    <w:rsid w:val="002C02F3"/>
    <w:rsid w:val="002C2D15"/>
    <w:rsid w:val="002D2744"/>
    <w:rsid w:val="002D5784"/>
    <w:rsid w:val="002E05F1"/>
    <w:rsid w:val="002E4835"/>
    <w:rsid w:val="002E6F55"/>
    <w:rsid w:val="002F2FCB"/>
    <w:rsid w:val="002F3681"/>
    <w:rsid w:val="002F4ADD"/>
    <w:rsid w:val="002F747B"/>
    <w:rsid w:val="0030123C"/>
    <w:rsid w:val="0030226E"/>
    <w:rsid w:val="0030291F"/>
    <w:rsid w:val="003058D4"/>
    <w:rsid w:val="00306BC5"/>
    <w:rsid w:val="00307DB4"/>
    <w:rsid w:val="00311442"/>
    <w:rsid w:val="00321EBE"/>
    <w:rsid w:val="0032224B"/>
    <w:rsid w:val="00326E81"/>
    <w:rsid w:val="00330256"/>
    <w:rsid w:val="00336CA0"/>
    <w:rsid w:val="003444F1"/>
    <w:rsid w:val="00354C2B"/>
    <w:rsid w:val="003561D6"/>
    <w:rsid w:val="00364F55"/>
    <w:rsid w:val="0036572C"/>
    <w:rsid w:val="00373ABD"/>
    <w:rsid w:val="00377820"/>
    <w:rsid w:val="00381845"/>
    <w:rsid w:val="00382017"/>
    <w:rsid w:val="00382F15"/>
    <w:rsid w:val="00384FC5"/>
    <w:rsid w:val="00385EC3"/>
    <w:rsid w:val="00396C77"/>
    <w:rsid w:val="003A2AC3"/>
    <w:rsid w:val="003A45D1"/>
    <w:rsid w:val="003A5D06"/>
    <w:rsid w:val="003A783D"/>
    <w:rsid w:val="003C228B"/>
    <w:rsid w:val="003C3019"/>
    <w:rsid w:val="003C3A6F"/>
    <w:rsid w:val="003C3C98"/>
    <w:rsid w:val="003C3DA9"/>
    <w:rsid w:val="003D467E"/>
    <w:rsid w:val="003D5869"/>
    <w:rsid w:val="003E1957"/>
    <w:rsid w:val="003E26FC"/>
    <w:rsid w:val="003E7393"/>
    <w:rsid w:val="003F17C9"/>
    <w:rsid w:val="003F45E3"/>
    <w:rsid w:val="003F7A0F"/>
    <w:rsid w:val="00403284"/>
    <w:rsid w:val="00403B11"/>
    <w:rsid w:val="00403CDC"/>
    <w:rsid w:val="004062FC"/>
    <w:rsid w:val="00406C20"/>
    <w:rsid w:val="00406E1D"/>
    <w:rsid w:val="00411F29"/>
    <w:rsid w:val="00413EC7"/>
    <w:rsid w:val="0041533C"/>
    <w:rsid w:val="0042217A"/>
    <w:rsid w:val="00422AA3"/>
    <w:rsid w:val="00436574"/>
    <w:rsid w:val="00437955"/>
    <w:rsid w:val="00437C75"/>
    <w:rsid w:val="00450F85"/>
    <w:rsid w:val="00450F9C"/>
    <w:rsid w:val="0045496E"/>
    <w:rsid w:val="00457114"/>
    <w:rsid w:val="004609A3"/>
    <w:rsid w:val="004616A6"/>
    <w:rsid w:val="00461FE6"/>
    <w:rsid w:val="00462CDE"/>
    <w:rsid w:val="00465141"/>
    <w:rsid w:val="00467016"/>
    <w:rsid w:val="004732E6"/>
    <w:rsid w:val="00476989"/>
    <w:rsid w:val="00476A79"/>
    <w:rsid w:val="0049041B"/>
    <w:rsid w:val="004919F3"/>
    <w:rsid w:val="00494C75"/>
    <w:rsid w:val="004A2976"/>
    <w:rsid w:val="004A4C54"/>
    <w:rsid w:val="004B2370"/>
    <w:rsid w:val="004B73FC"/>
    <w:rsid w:val="004B7BC7"/>
    <w:rsid w:val="004C129B"/>
    <w:rsid w:val="004C1A6C"/>
    <w:rsid w:val="004C420A"/>
    <w:rsid w:val="004D0157"/>
    <w:rsid w:val="004D152C"/>
    <w:rsid w:val="004D2FF6"/>
    <w:rsid w:val="004E0C65"/>
    <w:rsid w:val="004E10CF"/>
    <w:rsid w:val="004E58CC"/>
    <w:rsid w:val="004E7902"/>
    <w:rsid w:val="004E7D0B"/>
    <w:rsid w:val="004F203C"/>
    <w:rsid w:val="004F3AFE"/>
    <w:rsid w:val="004F3C99"/>
    <w:rsid w:val="0051278F"/>
    <w:rsid w:val="00514943"/>
    <w:rsid w:val="00515FD4"/>
    <w:rsid w:val="005212FF"/>
    <w:rsid w:val="00521CB2"/>
    <w:rsid w:val="00524489"/>
    <w:rsid w:val="00527804"/>
    <w:rsid w:val="005313A2"/>
    <w:rsid w:val="0053345D"/>
    <w:rsid w:val="00534F13"/>
    <w:rsid w:val="00540CF4"/>
    <w:rsid w:val="005426D4"/>
    <w:rsid w:val="005614C0"/>
    <w:rsid w:val="00561D4E"/>
    <w:rsid w:val="00572476"/>
    <w:rsid w:val="0057283A"/>
    <w:rsid w:val="00574A68"/>
    <w:rsid w:val="00576798"/>
    <w:rsid w:val="00591739"/>
    <w:rsid w:val="0059500A"/>
    <w:rsid w:val="005A02E5"/>
    <w:rsid w:val="005A098C"/>
    <w:rsid w:val="005A2A35"/>
    <w:rsid w:val="005A33EA"/>
    <w:rsid w:val="005A38DF"/>
    <w:rsid w:val="005A4B7E"/>
    <w:rsid w:val="005A7FE8"/>
    <w:rsid w:val="005B240D"/>
    <w:rsid w:val="005B2417"/>
    <w:rsid w:val="005B3018"/>
    <w:rsid w:val="005B38B1"/>
    <w:rsid w:val="005B4298"/>
    <w:rsid w:val="005C0842"/>
    <w:rsid w:val="005C28CF"/>
    <w:rsid w:val="005C2DFA"/>
    <w:rsid w:val="005C5EEA"/>
    <w:rsid w:val="005E5F0C"/>
    <w:rsid w:val="005E6B3E"/>
    <w:rsid w:val="005E7348"/>
    <w:rsid w:val="005F3C3E"/>
    <w:rsid w:val="00602ABF"/>
    <w:rsid w:val="00606BF9"/>
    <w:rsid w:val="00607E32"/>
    <w:rsid w:val="006101A6"/>
    <w:rsid w:val="006147F4"/>
    <w:rsid w:val="0061492B"/>
    <w:rsid w:val="00620D7A"/>
    <w:rsid w:val="00620DC0"/>
    <w:rsid w:val="00621E21"/>
    <w:rsid w:val="0062247F"/>
    <w:rsid w:val="00622F3A"/>
    <w:rsid w:val="0062445C"/>
    <w:rsid w:val="006251C1"/>
    <w:rsid w:val="006261F9"/>
    <w:rsid w:val="00626411"/>
    <w:rsid w:val="0063032B"/>
    <w:rsid w:val="006315A4"/>
    <w:rsid w:val="006377D5"/>
    <w:rsid w:val="00646EB3"/>
    <w:rsid w:val="00647837"/>
    <w:rsid w:val="00651623"/>
    <w:rsid w:val="00653503"/>
    <w:rsid w:val="006537A8"/>
    <w:rsid w:val="00657384"/>
    <w:rsid w:val="0066266F"/>
    <w:rsid w:val="00675D03"/>
    <w:rsid w:val="00677AA8"/>
    <w:rsid w:val="00686518"/>
    <w:rsid w:val="00693390"/>
    <w:rsid w:val="006A0469"/>
    <w:rsid w:val="006A2F26"/>
    <w:rsid w:val="006A3BAD"/>
    <w:rsid w:val="006A6E99"/>
    <w:rsid w:val="006A7187"/>
    <w:rsid w:val="006A78EC"/>
    <w:rsid w:val="006A7948"/>
    <w:rsid w:val="006B0743"/>
    <w:rsid w:val="006B57C6"/>
    <w:rsid w:val="006B7864"/>
    <w:rsid w:val="006C1A8F"/>
    <w:rsid w:val="006C2D79"/>
    <w:rsid w:val="006C7C27"/>
    <w:rsid w:val="006E07E2"/>
    <w:rsid w:val="006E4C92"/>
    <w:rsid w:val="006E6D28"/>
    <w:rsid w:val="006F1DF0"/>
    <w:rsid w:val="006F6098"/>
    <w:rsid w:val="006F6361"/>
    <w:rsid w:val="007016A8"/>
    <w:rsid w:val="00713BD9"/>
    <w:rsid w:val="0071658A"/>
    <w:rsid w:val="00716CC3"/>
    <w:rsid w:val="007203A5"/>
    <w:rsid w:val="007257D4"/>
    <w:rsid w:val="007263CD"/>
    <w:rsid w:val="0072759F"/>
    <w:rsid w:val="00727B5C"/>
    <w:rsid w:val="00727DBF"/>
    <w:rsid w:val="00730258"/>
    <w:rsid w:val="00742A63"/>
    <w:rsid w:val="00743869"/>
    <w:rsid w:val="007473AC"/>
    <w:rsid w:val="0075003C"/>
    <w:rsid w:val="00751C97"/>
    <w:rsid w:val="00751CA0"/>
    <w:rsid w:val="00753BF2"/>
    <w:rsid w:val="007612F3"/>
    <w:rsid w:val="00762829"/>
    <w:rsid w:val="00762C68"/>
    <w:rsid w:val="00763F26"/>
    <w:rsid w:val="00764A5C"/>
    <w:rsid w:val="00772B44"/>
    <w:rsid w:val="00773450"/>
    <w:rsid w:val="00773D07"/>
    <w:rsid w:val="0077518E"/>
    <w:rsid w:val="0077596C"/>
    <w:rsid w:val="00780B27"/>
    <w:rsid w:val="007821F7"/>
    <w:rsid w:val="00787DFB"/>
    <w:rsid w:val="00790C30"/>
    <w:rsid w:val="00791229"/>
    <w:rsid w:val="007941E4"/>
    <w:rsid w:val="00796C25"/>
    <w:rsid w:val="007A3FA6"/>
    <w:rsid w:val="007A5F5E"/>
    <w:rsid w:val="007A6346"/>
    <w:rsid w:val="007B1D58"/>
    <w:rsid w:val="007B22A5"/>
    <w:rsid w:val="007B3055"/>
    <w:rsid w:val="007C1323"/>
    <w:rsid w:val="007D6A8F"/>
    <w:rsid w:val="007E6DD6"/>
    <w:rsid w:val="007F3912"/>
    <w:rsid w:val="007F550C"/>
    <w:rsid w:val="007F77FB"/>
    <w:rsid w:val="00801257"/>
    <w:rsid w:val="008030E2"/>
    <w:rsid w:val="0080420B"/>
    <w:rsid w:val="0080444C"/>
    <w:rsid w:val="0081278E"/>
    <w:rsid w:val="00812E92"/>
    <w:rsid w:val="00821DE3"/>
    <w:rsid w:val="00822629"/>
    <w:rsid w:val="0082643A"/>
    <w:rsid w:val="00826CA7"/>
    <w:rsid w:val="00830149"/>
    <w:rsid w:val="00835B15"/>
    <w:rsid w:val="00841D00"/>
    <w:rsid w:val="008425E8"/>
    <w:rsid w:val="00845E2D"/>
    <w:rsid w:val="0084694F"/>
    <w:rsid w:val="00847466"/>
    <w:rsid w:val="00850DF0"/>
    <w:rsid w:val="00853E96"/>
    <w:rsid w:val="00855CD3"/>
    <w:rsid w:val="00861F10"/>
    <w:rsid w:val="00861FBF"/>
    <w:rsid w:val="00861FF2"/>
    <w:rsid w:val="0086305B"/>
    <w:rsid w:val="00864324"/>
    <w:rsid w:val="00864BAA"/>
    <w:rsid w:val="00867541"/>
    <w:rsid w:val="00870A85"/>
    <w:rsid w:val="00875D46"/>
    <w:rsid w:val="008767F6"/>
    <w:rsid w:val="00876E36"/>
    <w:rsid w:val="0087754C"/>
    <w:rsid w:val="008831B0"/>
    <w:rsid w:val="008852B6"/>
    <w:rsid w:val="00887659"/>
    <w:rsid w:val="00890768"/>
    <w:rsid w:val="00892B77"/>
    <w:rsid w:val="00893248"/>
    <w:rsid w:val="00893F04"/>
    <w:rsid w:val="0089498B"/>
    <w:rsid w:val="008A094B"/>
    <w:rsid w:val="008A4ADD"/>
    <w:rsid w:val="008A64E9"/>
    <w:rsid w:val="008A7E52"/>
    <w:rsid w:val="008B7CCF"/>
    <w:rsid w:val="008C1634"/>
    <w:rsid w:val="008C42C3"/>
    <w:rsid w:val="008D1B5F"/>
    <w:rsid w:val="008E1ADB"/>
    <w:rsid w:val="008E25AA"/>
    <w:rsid w:val="008E6848"/>
    <w:rsid w:val="008E7D04"/>
    <w:rsid w:val="008F0FC3"/>
    <w:rsid w:val="008F2031"/>
    <w:rsid w:val="008F2451"/>
    <w:rsid w:val="008F35D7"/>
    <w:rsid w:val="008F6DE8"/>
    <w:rsid w:val="009001C8"/>
    <w:rsid w:val="0091481F"/>
    <w:rsid w:val="00923458"/>
    <w:rsid w:val="0092498B"/>
    <w:rsid w:val="00925CC8"/>
    <w:rsid w:val="00935455"/>
    <w:rsid w:val="0094218A"/>
    <w:rsid w:val="00942AA1"/>
    <w:rsid w:val="009438F3"/>
    <w:rsid w:val="00946B4F"/>
    <w:rsid w:val="00946D88"/>
    <w:rsid w:val="009513D4"/>
    <w:rsid w:val="00957896"/>
    <w:rsid w:val="009624CF"/>
    <w:rsid w:val="00963623"/>
    <w:rsid w:val="009640EC"/>
    <w:rsid w:val="00974DE6"/>
    <w:rsid w:val="0097702B"/>
    <w:rsid w:val="0098063B"/>
    <w:rsid w:val="00980836"/>
    <w:rsid w:val="009826F3"/>
    <w:rsid w:val="00985BAF"/>
    <w:rsid w:val="00985D8D"/>
    <w:rsid w:val="00987031"/>
    <w:rsid w:val="009914E6"/>
    <w:rsid w:val="009926E6"/>
    <w:rsid w:val="00992D54"/>
    <w:rsid w:val="009951A3"/>
    <w:rsid w:val="009A4959"/>
    <w:rsid w:val="009A6227"/>
    <w:rsid w:val="009B194F"/>
    <w:rsid w:val="009B2CAD"/>
    <w:rsid w:val="009B58A8"/>
    <w:rsid w:val="009B7B92"/>
    <w:rsid w:val="009D141D"/>
    <w:rsid w:val="009D266C"/>
    <w:rsid w:val="009D3E3F"/>
    <w:rsid w:val="009D63E2"/>
    <w:rsid w:val="009D7D4A"/>
    <w:rsid w:val="009E2760"/>
    <w:rsid w:val="009E58F6"/>
    <w:rsid w:val="009F0AB2"/>
    <w:rsid w:val="009F7CF7"/>
    <w:rsid w:val="00A01A48"/>
    <w:rsid w:val="00A025AC"/>
    <w:rsid w:val="00A03BDC"/>
    <w:rsid w:val="00A04B52"/>
    <w:rsid w:val="00A07428"/>
    <w:rsid w:val="00A1452D"/>
    <w:rsid w:val="00A23AF8"/>
    <w:rsid w:val="00A26B12"/>
    <w:rsid w:val="00A27492"/>
    <w:rsid w:val="00A3340F"/>
    <w:rsid w:val="00A36A48"/>
    <w:rsid w:val="00A42D7D"/>
    <w:rsid w:val="00A44512"/>
    <w:rsid w:val="00A453EF"/>
    <w:rsid w:val="00A52B81"/>
    <w:rsid w:val="00A559BD"/>
    <w:rsid w:val="00A56924"/>
    <w:rsid w:val="00A63B02"/>
    <w:rsid w:val="00A6569C"/>
    <w:rsid w:val="00A6745D"/>
    <w:rsid w:val="00A708DA"/>
    <w:rsid w:val="00A708ED"/>
    <w:rsid w:val="00A71884"/>
    <w:rsid w:val="00A7602F"/>
    <w:rsid w:val="00A763AF"/>
    <w:rsid w:val="00A76C32"/>
    <w:rsid w:val="00A77091"/>
    <w:rsid w:val="00A801F7"/>
    <w:rsid w:val="00A80750"/>
    <w:rsid w:val="00A80F1C"/>
    <w:rsid w:val="00A81F66"/>
    <w:rsid w:val="00A82285"/>
    <w:rsid w:val="00A85F2B"/>
    <w:rsid w:val="00A90087"/>
    <w:rsid w:val="00A90803"/>
    <w:rsid w:val="00AA1AEF"/>
    <w:rsid w:val="00AA410B"/>
    <w:rsid w:val="00AA4862"/>
    <w:rsid w:val="00AB01BA"/>
    <w:rsid w:val="00AB2569"/>
    <w:rsid w:val="00AC0253"/>
    <w:rsid w:val="00AC257F"/>
    <w:rsid w:val="00AD1E5F"/>
    <w:rsid w:val="00AD6EE1"/>
    <w:rsid w:val="00AE3738"/>
    <w:rsid w:val="00AE3D0F"/>
    <w:rsid w:val="00AE4036"/>
    <w:rsid w:val="00B0000F"/>
    <w:rsid w:val="00B00900"/>
    <w:rsid w:val="00B14CC9"/>
    <w:rsid w:val="00B22E23"/>
    <w:rsid w:val="00B23ABB"/>
    <w:rsid w:val="00B24940"/>
    <w:rsid w:val="00B26DB9"/>
    <w:rsid w:val="00B30290"/>
    <w:rsid w:val="00B34523"/>
    <w:rsid w:val="00B35A64"/>
    <w:rsid w:val="00B4053E"/>
    <w:rsid w:val="00B449B6"/>
    <w:rsid w:val="00B46CF2"/>
    <w:rsid w:val="00B50163"/>
    <w:rsid w:val="00B517C0"/>
    <w:rsid w:val="00B51FD2"/>
    <w:rsid w:val="00B525D5"/>
    <w:rsid w:val="00B5328D"/>
    <w:rsid w:val="00B53677"/>
    <w:rsid w:val="00B605A1"/>
    <w:rsid w:val="00B6145D"/>
    <w:rsid w:val="00B62610"/>
    <w:rsid w:val="00B639EF"/>
    <w:rsid w:val="00B6486C"/>
    <w:rsid w:val="00B65D90"/>
    <w:rsid w:val="00B67579"/>
    <w:rsid w:val="00B726BF"/>
    <w:rsid w:val="00B75189"/>
    <w:rsid w:val="00B77C50"/>
    <w:rsid w:val="00B87495"/>
    <w:rsid w:val="00B902FE"/>
    <w:rsid w:val="00B95E3F"/>
    <w:rsid w:val="00B972D1"/>
    <w:rsid w:val="00B972D5"/>
    <w:rsid w:val="00BA19A7"/>
    <w:rsid w:val="00BA2D1F"/>
    <w:rsid w:val="00BA447E"/>
    <w:rsid w:val="00BB011B"/>
    <w:rsid w:val="00BB2503"/>
    <w:rsid w:val="00BB2BAD"/>
    <w:rsid w:val="00BB6B5B"/>
    <w:rsid w:val="00BC0CAD"/>
    <w:rsid w:val="00BC1844"/>
    <w:rsid w:val="00BC3432"/>
    <w:rsid w:val="00BC6D51"/>
    <w:rsid w:val="00BC71FB"/>
    <w:rsid w:val="00BD4763"/>
    <w:rsid w:val="00BE20F9"/>
    <w:rsid w:val="00BE254B"/>
    <w:rsid w:val="00C00E0B"/>
    <w:rsid w:val="00C0112B"/>
    <w:rsid w:val="00C05FEA"/>
    <w:rsid w:val="00C07939"/>
    <w:rsid w:val="00C14A5E"/>
    <w:rsid w:val="00C16756"/>
    <w:rsid w:val="00C17864"/>
    <w:rsid w:val="00C25043"/>
    <w:rsid w:val="00C271A3"/>
    <w:rsid w:val="00C27A17"/>
    <w:rsid w:val="00C27EA3"/>
    <w:rsid w:val="00C32500"/>
    <w:rsid w:val="00C33A4C"/>
    <w:rsid w:val="00C35971"/>
    <w:rsid w:val="00C40600"/>
    <w:rsid w:val="00C42E4A"/>
    <w:rsid w:val="00C47C72"/>
    <w:rsid w:val="00C50C6C"/>
    <w:rsid w:val="00C51B4D"/>
    <w:rsid w:val="00C56027"/>
    <w:rsid w:val="00C56DAC"/>
    <w:rsid w:val="00C60E85"/>
    <w:rsid w:val="00C66117"/>
    <w:rsid w:val="00C661B3"/>
    <w:rsid w:val="00C72970"/>
    <w:rsid w:val="00C7668D"/>
    <w:rsid w:val="00C81761"/>
    <w:rsid w:val="00C906B5"/>
    <w:rsid w:val="00C92194"/>
    <w:rsid w:val="00C94787"/>
    <w:rsid w:val="00CA06B1"/>
    <w:rsid w:val="00CA0734"/>
    <w:rsid w:val="00CA0829"/>
    <w:rsid w:val="00CA3A03"/>
    <w:rsid w:val="00CA5B3F"/>
    <w:rsid w:val="00CA688E"/>
    <w:rsid w:val="00CB002C"/>
    <w:rsid w:val="00CB058F"/>
    <w:rsid w:val="00CB36B4"/>
    <w:rsid w:val="00CB3BCC"/>
    <w:rsid w:val="00CB5A73"/>
    <w:rsid w:val="00CB7021"/>
    <w:rsid w:val="00CC049A"/>
    <w:rsid w:val="00CC2D31"/>
    <w:rsid w:val="00CD20A8"/>
    <w:rsid w:val="00CE10BE"/>
    <w:rsid w:val="00CE40CA"/>
    <w:rsid w:val="00CE6116"/>
    <w:rsid w:val="00CE6ECD"/>
    <w:rsid w:val="00CF649C"/>
    <w:rsid w:val="00CF68D6"/>
    <w:rsid w:val="00D00F6D"/>
    <w:rsid w:val="00D06432"/>
    <w:rsid w:val="00D129DC"/>
    <w:rsid w:val="00D13C33"/>
    <w:rsid w:val="00D154F6"/>
    <w:rsid w:val="00D25EAF"/>
    <w:rsid w:val="00D26C8E"/>
    <w:rsid w:val="00D30411"/>
    <w:rsid w:val="00D30DBD"/>
    <w:rsid w:val="00D31103"/>
    <w:rsid w:val="00D34376"/>
    <w:rsid w:val="00D4058B"/>
    <w:rsid w:val="00D4373F"/>
    <w:rsid w:val="00D46FB7"/>
    <w:rsid w:val="00D47B0A"/>
    <w:rsid w:val="00D5117C"/>
    <w:rsid w:val="00D5124B"/>
    <w:rsid w:val="00D52C7C"/>
    <w:rsid w:val="00D5419B"/>
    <w:rsid w:val="00D60A5C"/>
    <w:rsid w:val="00D61725"/>
    <w:rsid w:val="00D62323"/>
    <w:rsid w:val="00D62C1F"/>
    <w:rsid w:val="00D70319"/>
    <w:rsid w:val="00D7034F"/>
    <w:rsid w:val="00D7627A"/>
    <w:rsid w:val="00D77C03"/>
    <w:rsid w:val="00D84FDB"/>
    <w:rsid w:val="00D867E6"/>
    <w:rsid w:val="00D8785D"/>
    <w:rsid w:val="00D96EE8"/>
    <w:rsid w:val="00DA2979"/>
    <w:rsid w:val="00DA69F0"/>
    <w:rsid w:val="00DC342E"/>
    <w:rsid w:val="00DC5139"/>
    <w:rsid w:val="00DD40C8"/>
    <w:rsid w:val="00DD4203"/>
    <w:rsid w:val="00DD61C3"/>
    <w:rsid w:val="00DE0098"/>
    <w:rsid w:val="00DE0ABE"/>
    <w:rsid w:val="00DE4564"/>
    <w:rsid w:val="00DF1461"/>
    <w:rsid w:val="00DF7E24"/>
    <w:rsid w:val="00E000B8"/>
    <w:rsid w:val="00E04274"/>
    <w:rsid w:val="00E063C8"/>
    <w:rsid w:val="00E153A4"/>
    <w:rsid w:val="00E17F7A"/>
    <w:rsid w:val="00E223EA"/>
    <w:rsid w:val="00E235C2"/>
    <w:rsid w:val="00E23790"/>
    <w:rsid w:val="00E3034A"/>
    <w:rsid w:val="00E30C6E"/>
    <w:rsid w:val="00E33B77"/>
    <w:rsid w:val="00E3619B"/>
    <w:rsid w:val="00E43302"/>
    <w:rsid w:val="00E4591F"/>
    <w:rsid w:val="00E45BE5"/>
    <w:rsid w:val="00E47255"/>
    <w:rsid w:val="00E5234B"/>
    <w:rsid w:val="00E57AD4"/>
    <w:rsid w:val="00E617A0"/>
    <w:rsid w:val="00E65B8E"/>
    <w:rsid w:val="00E6787B"/>
    <w:rsid w:val="00E70FA8"/>
    <w:rsid w:val="00E7342C"/>
    <w:rsid w:val="00E73A56"/>
    <w:rsid w:val="00E74CD9"/>
    <w:rsid w:val="00E77824"/>
    <w:rsid w:val="00E80E0E"/>
    <w:rsid w:val="00E85B2A"/>
    <w:rsid w:val="00E912C5"/>
    <w:rsid w:val="00E92959"/>
    <w:rsid w:val="00E92AFD"/>
    <w:rsid w:val="00E96E8E"/>
    <w:rsid w:val="00E979FD"/>
    <w:rsid w:val="00EA0FA0"/>
    <w:rsid w:val="00EA1673"/>
    <w:rsid w:val="00EA4EDD"/>
    <w:rsid w:val="00EB6CB9"/>
    <w:rsid w:val="00EB71F2"/>
    <w:rsid w:val="00EC3BD6"/>
    <w:rsid w:val="00EC4C30"/>
    <w:rsid w:val="00EC57A8"/>
    <w:rsid w:val="00EC73C7"/>
    <w:rsid w:val="00ED23CA"/>
    <w:rsid w:val="00ED3EDB"/>
    <w:rsid w:val="00ED419D"/>
    <w:rsid w:val="00ED4941"/>
    <w:rsid w:val="00ED667E"/>
    <w:rsid w:val="00ED6DDD"/>
    <w:rsid w:val="00EE448F"/>
    <w:rsid w:val="00EE4997"/>
    <w:rsid w:val="00EF44D3"/>
    <w:rsid w:val="00EF53E7"/>
    <w:rsid w:val="00EF5B2A"/>
    <w:rsid w:val="00F06A8E"/>
    <w:rsid w:val="00F1000C"/>
    <w:rsid w:val="00F13F6C"/>
    <w:rsid w:val="00F1727F"/>
    <w:rsid w:val="00F20591"/>
    <w:rsid w:val="00F205C0"/>
    <w:rsid w:val="00F249AA"/>
    <w:rsid w:val="00F25769"/>
    <w:rsid w:val="00F25A1E"/>
    <w:rsid w:val="00F27ADA"/>
    <w:rsid w:val="00F36571"/>
    <w:rsid w:val="00F47C6B"/>
    <w:rsid w:val="00F61728"/>
    <w:rsid w:val="00F6301B"/>
    <w:rsid w:val="00F70E21"/>
    <w:rsid w:val="00F7532A"/>
    <w:rsid w:val="00F77E74"/>
    <w:rsid w:val="00F8541C"/>
    <w:rsid w:val="00F8785F"/>
    <w:rsid w:val="00F96EF6"/>
    <w:rsid w:val="00FA0514"/>
    <w:rsid w:val="00FA0AD7"/>
    <w:rsid w:val="00FA79E5"/>
    <w:rsid w:val="00FB486A"/>
    <w:rsid w:val="00FB4C80"/>
    <w:rsid w:val="00FB5815"/>
    <w:rsid w:val="00FB6559"/>
    <w:rsid w:val="00FB7415"/>
    <w:rsid w:val="00FC0EB3"/>
    <w:rsid w:val="00FD196A"/>
    <w:rsid w:val="00FD1C55"/>
    <w:rsid w:val="00FD4187"/>
    <w:rsid w:val="00FD7526"/>
    <w:rsid w:val="00FE602B"/>
    <w:rsid w:val="00FF0FA3"/>
    <w:rsid w:val="00FF3DCD"/>
    <w:rsid w:val="00FF5F3D"/>
    <w:rsid w:val="00FF6485"/>
    <w:rsid w:val="00FF6FE7"/>
    <w:rsid w:val="00FF7DD2"/>
    <w:rsid w:val="020D7255"/>
    <w:rsid w:val="02E568B5"/>
    <w:rsid w:val="05D830F7"/>
    <w:rsid w:val="06CE5620"/>
    <w:rsid w:val="09482666"/>
    <w:rsid w:val="0A4E7C40"/>
    <w:rsid w:val="0E16528B"/>
    <w:rsid w:val="14DF56CC"/>
    <w:rsid w:val="15333440"/>
    <w:rsid w:val="17F82BC5"/>
    <w:rsid w:val="183C3231"/>
    <w:rsid w:val="19080AA7"/>
    <w:rsid w:val="1A175131"/>
    <w:rsid w:val="1C6C0710"/>
    <w:rsid w:val="1CC17355"/>
    <w:rsid w:val="1F17053A"/>
    <w:rsid w:val="23C12001"/>
    <w:rsid w:val="24736020"/>
    <w:rsid w:val="26C94FF1"/>
    <w:rsid w:val="29D51EC8"/>
    <w:rsid w:val="2C043B05"/>
    <w:rsid w:val="34202293"/>
    <w:rsid w:val="34FF422E"/>
    <w:rsid w:val="35A62175"/>
    <w:rsid w:val="37E37D6A"/>
    <w:rsid w:val="3E3B51E1"/>
    <w:rsid w:val="40593D82"/>
    <w:rsid w:val="40C21CF4"/>
    <w:rsid w:val="44211DBB"/>
    <w:rsid w:val="4449314A"/>
    <w:rsid w:val="47807172"/>
    <w:rsid w:val="47D71C67"/>
    <w:rsid w:val="4A613501"/>
    <w:rsid w:val="4C7E64DE"/>
    <w:rsid w:val="4E7828AC"/>
    <w:rsid w:val="4FCC4EEF"/>
    <w:rsid w:val="51852F5E"/>
    <w:rsid w:val="524C288E"/>
    <w:rsid w:val="525C4720"/>
    <w:rsid w:val="52EB77E5"/>
    <w:rsid w:val="53E7012B"/>
    <w:rsid w:val="56E07FCE"/>
    <w:rsid w:val="588F5EB8"/>
    <w:rsid w:val="59347A75"/>
    <w:rsid w:val="5BEF1A9A"/>
    <w:rsid w:val="616D3C3A"/>
    <w:rsid w:val="65347AB0"/>
    <w:rsid w:val="653C4B3A"/>
    <w:rsid w:val="65D4525D"/>
    <w:rsid w:val="661560EB"/>
    <w:rsid w:val="69CB005C"/>
    <w:rsid w:val="6A76553D"/>
    <w:rsid w:val="6AD15B5D"/>
    <w:rsid w:val="6C91376D"/>
    <w:rsid w:val="6D284872"/>
    <w:rsid w:val="6F5C6FEE"/>
    <w:rsid w:val="6FB33D60"/>
    <w:rsid w:val="7108062E"/>
    <w:rsid w:val="74E220BB"/>
    <w:rsid w:val="7595618D"/>
    <w:rsid w:val="76197BB9"/>
    <w:rsid w:val="76890757"/>
    <w:rsid w:val="792E1606"/>
    <w:rsid w:val="794255CA"/>
    <w:rsid w:val="7A2E77BF"/>
    <w:rsid w:val="7B3D4D5E"/>
    <w:rsid w:val="7BBC6B83"/>
    <w:rsid w:val="7C4D4AEE"/>
    <w:rsid w:val="7E3B2A49"/>
    <w:rsid w:val="7EA71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4"/>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Plain Text"/>
    <w:basedOn w:val="1"/>
    <w:link w:val="25"/>
    <w:qFormat/>
    <w:uiPriority w:val="0"/>
    <w:rPr>
      <w:rFonts w:ascii="宋体" w:hAnsi="Courier New"/>
      <w:szCs w:val="20"/>
    </w:rPr>
  </w:style>
  <w:style w:type="paragraph" w:styleId="7">
    <w:name w:val="Balloon Text"/>
    <w:basedOn w:val="1"/>
    <w:link w:val="31"/>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30"/>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1"/>
    <w:next w:val="1"/>
    <w:unhideWhenUsed/>
    <w:qFormat/>
    <w:uiPriority w:val="39"/>
    <w:pPr>
      <w:tabs>
        <w:tab w:val="left" w:pos="425"/>
        <w:tab w:val="right" w:leader="dot" w:pos="8302"/>
      </w:tabs>
      <w:spacing w:line="240" w:lineRule="auto"/>
      <w:jc w:val="both"/>
    </w:pPr>
    <w:rPr>
      <w:rFonts w:ascii="Times New Roman" w:hAnsi="Times New Roman" w:eastAsia="黑体ＣＳ"/>
      <w:sz w:val="36"/>
      <w:szCs w:val="28"/>
      <w:lang w:bidi="ar-SA"/>
    </w:rPr>
  </w:style>
  <w:style w:type="paragraph" w:styleId="11">
    <w:name w:val="index 1"/>
    <w:basedOn w:val="1"/>
    <w:next w:val="1"/>
    <w:semiHidden/>
    <w:qFormat/>
    <w:uiPriority w:val="0"/>
    <w:pPr>
      <w:spacing w:line="360" w:lineRule="auto"/>
      <w:jc w:val="center"/>
    </w:pPr>
    <w:rPr>
      <w:rFonts w:ascii="宋体" w:hAnsi="宋体"/>
      <w:b/>
      <w:bCs/>
      <w:sz w:val="30"/>
      <w:szCs w:val="20"/>
      <w:lang w:bidi="he-IL"/>
    </w:rPr>
  </w:style>
  <w:style w:type="paragraph" w:styleId="12">
    <w:name w:val="Subtitle"/>
    <w:basedOn w:val="1"/>
    <w:link w:val="33"/>
    <w:qFormat/>
    <w:uiPriority w:val="99"/>
    <w:rPr>
      <w:rFonts w:ascii="Calibri" w:hAnsi="Calibri"/>
      <w:sz w:val="28"/>
      <w:szCs w:val="20"/>
    </w:rPr>
  </w:style>
  <w:style w:type="paragraph" w:styleId="13">
    <w:name w:val="toc 2"/>
    <w:basedOn w:val="1"/>
    <w:next w:val="1"/>
    <w:unhideWhenUsed/>
    <w:qFormat/>
    <w:uiPriority w:val="39"/>
    <w:pPr>
      <w:ind w:left="420" w:leftChars="200"/>
    </w:pPr>
  </w:style>
  <w:style w:type="paragraph" w:styleId="14">
    <w:name w:val="Normal (Web)"/>
    <w:basedOn w:val="1"/>
    <w:qFormat/>
    <w:uiPriority w:val="0"/>
    <w:pPr>
      <w:spacing w:before="100" w:beforeAutospacing="1" w:after="100" w:afterAutospacing="1"/>
      <w:jc w:val="left"/>
    </w:pPr>
    <w:rPr>
      <w:rFonts w:ascii="Calibri" w:hAnsi="Calibri"/>
      <w:kern w:val="0"/>
      <w:sz w:val="24"/>
    </w:rPr>
  </w:style>
  <w:style w:type="paragraph" w:styleId="15">
    <w:name w:val="Title"/>
    <w:basedOn w:val="1"/>
    <w:next w:val="1"/>
    <w:link w:val="28"/>
    <w:qFormat/>
    <w:uiPriority w:val="10"/>
    <w:pPr>
      <w:spacing w:before="240" w:after="60"/>
      <w:jc w:val="center"/>
      <w:outlineLvl w:val="0"/>
    </w:pPr>
    <w:rPr>
      <w:rFonts w:ascii="Cambria" w:hAnsi="Cambria"/>
      <w:b/>
      <w:bCs/>
      <w:sz w:val="32"/>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22"/>
    <w:rPr>
      <w:b/>
    </w:rPr>
  </w:style>
  <w:style w:type="character" w:styleId="20">
    <w:name w:val="FollowedHyperlink"/>
    <w:basedOn w:val="18"/>
    <w:unhideWhenUsed/>
    <w:qFormat/>
    <w:uiPriority w:val="99"/>
    <w:rPr>
      <w:color w:val="800080"/>
      <w:u w:val="single"/>
    </w:rPr>
  </w:style>
  <w:style w:type="character" w:styleId="21">
    <w:name w:val="Hyperlink"/>
    <w:basedOn w:val="18"/>
    <w:unhideWhenUsed/>
    <w:qFormat/>
    <w:uiPriority w:val="99"/>
    <w:rPr>
      <w:color w:val="0000FF"/>
      <w:u w:val="single"/>
    </w:rPr>
  </w:style>
  <w:style w:type="paragraph" w:customStyle="1" w:styleId="22">
    <w:name w:val="Heading2"/>
    <w:basedOn w:val="1"/>
    <w:next w:val="1"/>
    <w:qFormat/>
    <w:uiPriority w:val="0"/>
    <w:pPr>
      <w:keepNext/>
      <w:keepLines/>
      <w:spacing w:line="360" w:lineRule="auto"/>
    </w:pPr>
    <w:rPr>
      <w:rFonts w:ascii="Cambria" w:hAnsi="Cambria"/>
      <w:b/>
      <w:bCs/>
      <w:sz w:val="28"/>
      <w:szCs w:val="32"/>
    </w:rPr>
  </w:style>
  <w:style w:type="character" w:customStyle="1" w:styleId="23">
    <w:name w:val="NormalCharacter"/>
    <w:semiHidden/>
    <w:qFormat/>
    <w:uiPriority w:val="0"/>
  </w:style>
  <w:style w:type="character" w:customStyle="1" w:styleId="24">
    <w:name w:val="页脚 Char"/>
    <w:link w:val="8"/>
    <w:qFormat/>
    <w:uiPriority w:val="99"/>
    <w:rPr>
      <w:sz w:val="18"/>
      <w:szCs w:val="18"/>
    </w:rPr>
  </w:style>
  <w:style w:type="character" w:customStyle="1" w:styleId="25">
    <w:name w:val="纯文本 Char"/>
    <w:basedOn w:val="18"/>
    <w:link w:val="6"/>
    <w:qFormat/>
    <w:uiPriority w:val="0"/>
    <w:rPr>
      <w:rFonts w:ascii="宋体" w:hAnsi="Courier New"/>
      <w:kern w:val="2"/>
      <w:sz w:val="21"/>
    </w:rPr>
  </w:style>
  <w:style w:type="character" w:customStyle="1" w:styleId="26">
    <w:name w:val="副标题 Char1"/>
    <w:basedOn w:val="18"/>
    <w:qFormat/>
    <w:uiPriority w:val="11"/>
    <w:rPr>
      <w:rFonts w:ascii="Cambria" w:hAnsi="Cambria" w:cs="Times New Roman"/>
      <w:b/>
      <w:bCs/>
      <w:kern w:val="28"/>
      <w:sz w:val="32"/>
      <w:szCs w:val="32"/>
    </w:rPr>
  </w:style>
  <w:style w:type="character" w:customStyle="1" w:styleId="27">
    <w:name w:val="15"/>
    <w:basedOn w:val="18"/>
    <w:qFormat/>
    <w:uiPriority w:val="0"/>
  </w:style>
  <w:style w:type="character" w:customStyle="1" w:styleId="28">
    <w:name w:val="标题 Char"/>
    <w:basedOn w:val="18"/>
    <w:link w:val="15"/>
    <w:qFormat/>
    <w:uiPriority w:val="10"/>
    <w:rPr>
      <w:rFonts w:ascii="Cambria" w:hAnsi="Cambria" w:cs="Times New Roman"/>
      <w:b/>
      <w:bCs/>
      <w:kern w:val="2"/>
      <w:sz w:val="32"/>
      <w:szCs w:val="32"/>
    </w:rPr>
  </w:style>
  <w:style w:type="character" w:customStyle="1" w:styleId="29">
    <w:name w:val="标题 1 Char"/>
    <w:basedOn w:val="18"/>
    <w:link w:val="3"/>
    <w:qFormat/>
    <w:uiPriority w:val="9"/>
    <w:rPr>
      <w:rFonts w:ascii="Times New Roman" w:hAnsi="Times New Roman"/>
      <w:b/>
      <w:bCs/>
      <w:kern w:val="44"/>
      <w:sz w:val="44"/>
      <w:szCs w:val="44"/>
    </w:rPr>
  </w:style>
  <w:style w:type="character" w:customStyle="1" w:styleId="30">
    <w:name w:val="页眉 Char"/>
    <w:link w:val="9"/>
    <w:qFormat/>
    <w:uiPriority w:val="0"/>
    <w:rPr>
      <w:sz w:val="18"/>
      <w:szCs w:val="18"/>
    </w:rPr>
  </w:style>
  <w:style w:type="character" w:customStyle="1" w:styleId="31">
    <w:name w:val="批注框文本 Char"/>
    <w:basedOn w:val="18"/>
    <w:link w:val="7"/>
    <w:semiHidden/>
    <w:qFormat/>
    <w:uiPriority w:val="99"/>
    <w:rPr>
      <w:rFonts w:ascii="Times New Roman" w:hAnsi="Times New Roman"/>
      <w:kern w:val="2"/>
      <w:sz w:val="18"/>
      <w:szCs w:val="18"/>
    </w:rPr>
  </w:style>
  <w:style w:type="character" w:customStyle="1" w:styleId="32">
    <w:name w:val="标题 2 Char"/>
    <w:basedOn w:val="18"/>
    <w:link w:val="4"/>
    <w:qFormat/>
    <w:uiPriority w:val="0"/>
    <w:rPr>
      <w:rFonts w:ascii="Arial" w:hAnsi="Arial" w:eastAsia="黑体"/>
      <w:b/>
      <w:bCs/>
      <w:kern w:val="2"/>
      <w:sz w:val="32"/>
      <w:szCs w:val="32"/>
    </w:rPr>
  </w:style>
  <w:style w:type="character" w:customStyle="1" w:styleId="33">
    <w:name w:val="副标题 Char"/>
    <w:link w:val="12"/>
    <w:qFormat/>
    <w:uiPriority w:val="99"/>
    <w:rPr>
      <w:kern w:val="2"/>
      <w:sz w:val="28"/>
    </w:rPr>
  </w:style>
  <w:style w:type="character" w:customStyle="1" w:styleId="34">
    <w:name w:val="标题 3 Char"/>
    <w:basedOn w:val="18"/>
    <w:link w:val="5"/>
    <w:semiHidden/>
    <w:qFormat/>
    <w:uiPriority w:val="9"/>
    <w:rPr>
      <w:rFonts w:ascii="Times New Roman" w:hAnsi="Times New Roman"/>
      <w:b/>
      <w:bCs/>
      <w:kern w:val="2"/>
      <w:sz w:val="32"/>
      <w:szCs w:val="32"/>
    </w:rPr>
  </w:style>
  <w:style w:type="paragraph" w:customStyle="1" w:styleId="35">
    <w:name w:val="Char"/>
    <w:basedOn w:val="1"/>
    <w:qFormat/>
    <w:uiPriority w:val="0"/>
    <w:rPr>
      <w:rFonts w:ascii="Calibri" w:hAnsi="Calibri"/>
    </w:rPr>
  </w:style>
  <w:style w:type="paragraph" w:styleId="36">
    <w:name w:val="List Paragraph"/>
    <w:basedOn w:val="1"/>
    <w:qFormat/>
    <w:uiPriority w:val="99"/>
    <w:pPr>
      <w:ind w:firstLine="420" w:firstLineChars="200"/>
    </w:pPr>
    <w:rPr>
      <w:rFonts w:ascii="Calibri" w:hAnsi="Calibri"/>
      <w:szCs w:val="22"/>
    </w:rPr>
  </w:style>
  <w:style w:type="paragraph" w:customStyle="1" w:styleId="37">
    <w:name w:val="D&amp;L"/>
    <w:basedOn w:val="9"/>
    <w:qFormat/>
    <w:uiPriority w:val="0"/>
    <w:pPr>
      <w:pBdr>
        <w:bottom w:val="thinThickSmallGap" w:color="auto" w:sz="18" w:space="1"/>
      </w:pBdr>
      <w:adjustRightInd w:val="0"/>
      <w:snapToGrid/>
      <w:spacing w:line="240" w:lineRule="atLeast"/>
      <w:textAlignment w:val="baseline"/>
    </w:pPr>
    <w:rPr>
      <w:rFonts w:ascii="Times New Roman" w:hAnsi="Times New Roman"/>
      <w:sz w:val="24"/>
      <w:szCs w:val="20"/>
    </w:rPr>
  </w:style>
  <w:style w:type="paragraph" w:customStyle="1" w:styleId="38">
    <w:name w:val="Char1"/>
    <w:basedOn w:val="1"/>
    <w:qFormat/>
    <w:uiPriority w:val="0"/>
  </w:style>
  <w:style w:type="paragraph" w:customStyle="1" w:styleId="39">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0">
    <w:name w:val="列出段落1"/>
    <w:basedOn w:val="1"/>
    <w:qFormat/>
    <w:uiPriority w:val="34"/>
    <w:pPr>
      <w:ind w:firstLine="420" w:firstLineChars="200"/>
    </w:pPr>
    <w:rPr>
      <w:rFonts w:ascii="Calibri" w:hAnsi="Calibri"/>
      <w:szCs w:val="22"/>
    </w:rPr>
  </w:style>
  <w:style w:type="paragraph" w:customStyle="1" w:styleId="41">
    <w:name w:val="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Char Char Char Char Char Char Char1 Char"/>
    <w:basedOn w:val="1"/>
    <w:qFormat/>
    <w:uiPriority w:val="0"/>
    <w:rPr>
      <w:rFonts w:ascii="Tahoma" w:hAnsi="Tahoma"/>
      <w:sz w:val="24"/>
      <w:szCs w:val="20"/>
    </w:rPr>
  </w:style>
  <w:style w:type="paragraph" w:customStyle="1" w:styleId="43">
    <w:name w:val="char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4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4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27</Pages>
  <Words>2127</Words>
  <Characters>12129</Characters>
  <Lines>101</Lines>
  <Paragraphs>28</Paragraphs>
  <TotalTime>13</TotalTime>
  <ScaleCrop>false</ScaleCrop>
  <LinksUpToDate>false</LinksUpToDate>
  <CharactersWithSpaces>14228</CharactersWithSpaces>
  <Application>WPS Office_11.1.0.11116_F1E327BC-269C-435d-A152-05C5408002CA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2021-02-20T06:37:00Z</dcterms:created>
  <dc:creator>Administrator</dc:creator>
  <cp:lastModifiedBy>____説--秋--兲</cp:lastModifiedBy>
  <cp:lastPrinted>2022-04-14T08:53:54Z</cp:lastPrinted>
  <dcterms:modified xsi:type="dcterms:W3CDTF">2022-04-14T09:49:22Z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D67FB48BB5F745FAA2109C33BC157D75</vt:lpwstr>
  </property>
</Properties>
</file>